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80"/>
        <w:jc w:val="center"/>
      </w:pPr>
      <w:r>
        <w:rPr>
          <w:rFonts w:ascii="Arial" w:hAnsi="Arial"/>
          <w:b/>
          <w:sz w:val="44"/>
          <w:color w:val="1B3A6B"/>
        </w:rPr>
        <w:t>CLIENT INTELLIGENCE REPORT</w:t>
      </w:r>
    </w:p>
    <w:p>
      <w:pPr>
        <w:spacing w:before="0" w:after="60"/>
        <w:jc w:val="center"/>
        <w:pBdr>
          <w:bottom w:val="single" w:sz="6" w:space="4" w:color="C9A84C"/>
        </w:pBdr>
      </w:pPr>
      <w:r>
        <w:rPr>
          <w:rFonts w:ascii="Arial" w:hAnsi="Arial"/>
          <w:i/>
          <w:sz w:val="24"/>
          <w:color w:val="2E75B6"/>
        </w:rPr>
        <w:t>Risk Assessment</w:t>
      </w:r>
    </w:p>
    <w:p>
      <w:pPr>
        <w:spacing w:before="60" w:after="20"/>
        <w:jc w:val="center"/>
      </w:pPr>
      <w:r>
        <w:rPr>
          <w:rFonts w:ascii="Arial" w:hAnsi="Arial"/>
          <w:b/>
          <w:sz w:val="32"/>
          <w:color w:val="C0392B"/>
        </w:rPr>
        <w:t>Case Ref:  web_case_451</w:t>
      </w:r>
    </w:p>
    <w:p>
      <w:pPr>
        <w:spacing w:before="10" w:after="160"/>
        <w:jc w:val="center"/>
      </w:pPr>
      <w:r>
        <w:rPr>
          <w:rFonts w:ascii="Arial" w:hAnsi="Arial"/>
          <w:b w:val="0"/>
          <w:sz w:val="18"/>
          <w:color w:val="4A5568"/>
        </w:rPr>
        <w:t>May 18, 2026</w:t>
      </w:r>
      <w:r>
        <w:rPr>
          <w:rFonts w:ascii="Arial" w:hAnsi="Arial"/>
          <w:b w:val="0"/>
          <w:sz w:val="18"/>
          <w:color w:val="D0D7E3"/>
        </w:rPr>
        <w:t xml:space="preserve">   |   </w:t>
      </w:r>
      <w:r>
        <w:rPr>
          <w:rFonts w:ascii="Arial" w:hAnsi="Arial"/>
          <w:b/>
          <w:sz w:val="18"/>
          <w:color w:val="C0392B"/>
        </w:rPr>
        <w:t>CONFIDENTIAL</w:t>
      </w:r>
    </w:p>
    <w:p>
      <w:pPr>
        <w:spacing w:before="260" w:after="80"/>
        <w:pBdr>
          <w:bottom w:val="single" w:sz="8" w:space="4" w:color="C9A84C"/>
        </w:pBdr>
      </w:pPr>
      <w:r>
        <w:rPr>
          <w:rFonts w:ascii="Arial" w:hAnsi="Arial"/>
          <w:b/>
          <w:sz w:val="26"/>
          <w:color w:val="1B3A6B"/>
        </w:rPr>
        <w:t>1.  Background</w:t>
      </w:r>
    </w:p>
    <w:p>
      <w:pPr>
        <w:spacing w:before="80" w:after="60"/>
        <w:shd w:val="clear" w:color="auto" w:fill="F5F7FA"/>
        <w:pBdr>
          <w:left w:val="single" w:sz="18" w:space="6" w:color="2E75B6"/>
        </w:pBdr>
        <w:ind w:left="540"/>
        <w:tabs>
          <w:tab w:val="left" w:pos="1440"/>
        </w:tabs>
      </w:pPr>
      <w:r>
        <w:rPr>
          <w:rFonts w:ascii="Arial" w:hAnsi="Arial"/>
          <w:sz w:val="21"/>
          <w:color w:val="1A1A1A"/>
        </w:rPr>
        <w:tab/>
        <w:t>Trident International Corp. is a California-based limited liability company operating under various names including Flider Electronics, LLC, and doing business as Trident International Corporation, Trident International, and Trident International Corporation, LLC. It is headquartered at 837 Turk Street, San Francisco, California 94102. Pavel S Flider, a naturalized U.S. citizen, is the president and owner of Trident International Corp. His brother, Gennadiy S Flider, serves as an office manager with responsibilities in procurement and export activities. Kenovetco Ltd. is a company associated with the Trident group, involved in transactions linked to the broader network.</w:t>
      </w:r>
    </w:p>
    <w:p>
      <w:pPr>
        <w:spacing w:before="60" w:after="60"/>
        <w:shd w:val="clear" w:color="auto" w:fill="F5F7FA"/>
        <w:pBdr>
          <w:left w:val="single" w:sz="18" w:space="6" w:color="2E75B6"/>
        </w:pBdr>
        <w:ind w:left="540"/>
        <w:tabs>
          <w:tab w:val="left" w:pos="1440"/>
        </w:tabs>
      </w:pPr>
      <w:r>
        <w:rPr>
          <w:rFonts w:ascii="Arial" w:hAnsi="Arial"/>
          <w:sz w:val="21"/>
          <w:color w:val="1A1A1A"/>
        </w:rPr>
        <w:tab/>
        <w:t>The subjects are interconnected through business relationships and shared ownership. Pavel Flider is directly linked to Trident International Corp. as its owner, while Gennadiy Flider holds a managerial role. Kenovetco Ltd. appears to be part of the same business network, participating in financial transactions with Trident entities. The relationships among these entities suggest a coordinated structure, with Trident serving as the central hub for procurement and export activities, supported by related companies like Kenovetco Ltd.</w:t>
      </w:r>
    </w:p>
    <w:p>
      <w:pPr>
        <w:spacing w:before="0" w:after="60"/>
      </w:pPr>
    </w:p>
    <w:p>
      <w:pPr>
        <w:spacing w:before="260" w:after="80"/>
        <w:pBdr>
          <w:bottom w:val="single" w:sz="8" w:space="4" w:color="C9A84C"/>
        </w:pBdr>
      </w:pPr>
      <w:r>
        <w:rPr>
          <w:rFonts w:ascii="Arial" w:hAnsi="Arial"/>
          <w:b/>
          <w:sz w:val="26"/>
          <w:color w:val="C0392B"/>
        </w:rPr>
        <w:t>2.  Identified Risks</w:t>
      </w:r>
    </w:p>
    <w:p>
      <w:pPr>
        <w:spacing w:before="80" w:after="60"/>
        <w:shd w:val="clear" w:color="auto" w:fill="FFF0F0"/>
        <w:pBdr>
          <w:left w:val="single" w:sz="18" w:space="6" w:color="C0392B"/>
        </w:pBdr>
        <w:ind w:left="540"/>
        <w:tabs>
          <w:tab w:val="left" w:pos="1440"/>
        </w:tabs>
      </w:pPr>
      <w:r>
        <w:rPr>
          <w:rFonts w:ascii="Arial" w:hAnsi="Arial"/>
          <w:sz w:val="21"/>
          <w:color w:val="1A1A1A"/>
        </w:rPr>
        <w:tab/>
        <w:t>The primary risk associated with these entities is their involvement in illicit activities related to the export of controlled U.S.-origin items, particularly electronic components, to restricted destinations like Russia. Evidence indicates that Trident International Corp., under Pavel Flider’s leadership, engaged in a pattern of transshipping items to Russia via third countries such as Estonia and Finland. This involved false statements in export documentation, misrepresenting the ultimate consignees, and evading export controls.</w:t>
      </w:r>
    </w:p>
    <w:p>
      <w:pPr>
        <w:spacing w:before="60" w:after="60"/>
        <w:shd w:val="clear" w:color="auto" w:fill="FFF0F0"/>
        <w:pBdr>
          <w:left w:val="single" w:sz="18" w:space="6" w:color="C0392B"/>
        </w:pBdr>
        <w:ind w:left="540"/>
        <w:tabs>
          <w:tab w:val="left" w:pos="1440"/>
        </w:tabs>
      </w:pPr>
      <w:r>
        <w:rPr>
          <w:rFonts w:ascii="Arial" w:hAnsi="Arial"/>
          <w:sz w:val="21"/>
          <w:color w:val="1A1A1A"/>
        </w:rPr>
        <w:tab/>
        <w:t>Specific incidents include the detention of shipments in 2013, where items declared as "power supplies" were found to contain controlled Xilinx field programmable gate arrays (FPGAs) under ECCN 3A001.a.2.c, requiring a license for export to Russia. The use of freight forwarders as nominal consignees, such as Logilane Oy Ltd. in Finland and Adimir OU in Estonia, further indicates attempts to obscure the true destination and end-use of the exported goods.</w:t>
      </w:r>
    </w:p>
    <w:p>
      <w:pPr>
        <w:spacing w:before="60" w:after="60"/>
        <w:shd w:val="clear" w:color="auto" w:fill="FFF0F0"/>
        <w:pBdr>
          <w:left w:val="single" w:sz="18" w:space="6" w:color="C0392B"/>
        </w:pBdr>
        <w:ind w:left="540"/>
        <w:tabs>
          <w:tab w:val="left" w:pos="1440"/>
        </w:tabs>
      </w:pPr>
      <w:r>
        <w:rPr>
          <w:rFonts w:ascii="Arial" w:hAnsi="Arial"/>
          <w:sz w:val="21"/>
          <w:color w:val="1A1A1A"/>
        </w:rPr>
        <w:tab/>
        <w:t>The March 2015 indictment and subsequent legal proceedings against Pavel Flider and Trident International Corp. highlight the severity of these violations. Charges included smuggling goods, conspiracy to commit international money laundering, and money laundering, underscoring the deliberate and covert nature of the activities. The involvement of controlled items and the lack of proper licensing demonstrate a significant risk of violating export regulations and national security concerns.</w:t>
      </w:r>
    </w:p>
    <w:p>
      <w:pPr>
        <w:spacing w:before="60" w:after="60"/>
        <w:shd w:val="clear" w:color="auto" w:fill="FFF0F0"/>
        <w:pBdr>
          <w:left w:val="single" w:sz="18" w:space="6" w:color="C0392B"/>
        </w:pBdr>
        <w:ind w:left="540"/>
        <w:tabs>
          <w:tab w:val="left" w:pos="1440"/>
        </w:tabs>
      </w:pPr>
      <w:r>
        <w:rPr>
          <w:rFonts w:ascii="Arial" w:hAnsi="Arial"/>
          <w:sz w:val="21"/>
          <w:color w:val="1A1A1A"/>
        </w:rPr>
        <w:tab/>
        <w:t>Additionally, the renewal of the Temporary Denial Order (TDO) in September 2015 by the U.S. Department of Commerce’s Bureau of Industry and Security underscores the ongoing risk. The TDO was renewed due to evidence that Trident continued to attempt purchases of electronic components for export despite the initial order, indicating a persistent risk of imminent violations.</w:t>
      </w:r>
    </w:p>
    <w:p>
      <w:pPr>
        <w:spacing w:before="0" w:after="60"/>
      </w:pPr>
    </w:p>
    <w:p>
      <w:pPr>
        <w:spacing w:before="260" w:after="80"/>
        <w:pBdr>
          <w:bottom w:val="single" w:sz="8" w:space="4" w:color="C9A84C"/>
        </w:pBdr>
      </w:pPr>
      <w:r>
        <w:rPr>
          <w:rFonts w:ascii="Arial" w:hAnsi="Arial"/>
          <w:b/>
          <w:sz w:val="26"/>
          <w:color w:val="6B21A8"/>
        </w:rPr>
        <w:t>3.  PEP Association</w:t>
      </w:r>
    </w:p>
    <w:p>
      <w:pPr>
        <w:spacing w:before="80" w:after="60"/>
        <w:shd w:val="clear" w:color="auto" w:fill="F5F0FF"/>
        <w:pBdr>
          <w:left w:val="single" w:sz="18" w:space="6" w:color="6B21A8"/>
        </w:pBdr>
        <w:ind w:left="540"/>
        <w:tabs>
          <w:tab w:val="left" w:pos="1440"/>
        </w:tabs>
      </w:pPr>
      <w:r>
        <w:rPr>
          <w:rFonts w:ascii="Arial" w:hAnsi="Arial"/>
          <w:sz w:val="21"/>
          <w:color w:val="1A1A1A"/>
        </w:rPr>
        <w:tab/>
        <w:t>Pavel S Flider, as the president and owner of Trident International Corp., has been directly involved in activities that led to legal actions, including indictments and guilty pleas related to export violations and money laundering. His association with high-risk activities and legal repercussions places him in a category requiring enhanced scrutiny. However, there is no direct evidence linking him to Politically Exposed Persons (PEPs) or government positions. The focus remains on his role in the company and the associated risks rather than political exposure.</w:t>
      </w:r>
    </w:p>
    <w:p>
      <w:pPr>
        <w:spacing w:before="60" w:after="60"/>
        <w:shd w:val="clear" w:color="auto" w:fill="F5F0FF"/>
        <w:pBdr>
          <w:left w:val="single" w:sz="18" w:space="6" w:color="6B21A8"/>
        </w:pBdr>
        <w:ind w:left="540"/>
        <w:tabs>
          <w:tab w:val="left" w:pos="1440"/>
        </w:tabs>
      </w:pPr>
      <w:r>
        <w:rPr>
          <w:rFonts w:ascii="Arial" w:hAnsi="Arial"/>
          <w:sz w:val="21"/>
          <w:color w:val="1A1A1A"/>
        </w:rPr>
        <w:tab/>
        <w:t>Gennadiy S Flider, as an office manager, is also named in the TDO as a related person due to his responsibilities in procurement and export, which are central to the alleged violations. However, similar to Pavel Flider, there is no indication of direct ties to government officials or PEP status.</w:t>
      </w:r>
    </w:p>
    <w:p>
      <w:pPr>
        <w:spacing w:before="60" w:after="60"/>
        <w:shd w:val="clear" w:color="auto" w:fill="F5F0FF"/>
        <w:pBdr>
          <w:left w:val="single" w:sz="18" w:space="6" w:color="6B21A8"/>
        </w:pBdr>
        <w:ind w:left="540"/>
        <w:tabs>
          <w:tab w:val="left" w:pos="1440"/>
        </w:tabs>
      </w:pPr>
      <w:r>
        <w:rPr>
          <w:rFonts w:ascii="Arial" w:hAnsi="Arial"/>
          <w:sz w:val="21"/>
          <w:color w:val="1A1A1A"/>
        </w:rPr>
        <w:tab/>
        <w:t>Kenovetco Ltd., while part of the broader network, does not have direct associations with PEPs based on the provided materials. The primary PEP association risk stems from the individuals directly involved in the export violations rather than the corporate entities themselves.</w:t>
      </w:r>
    </w:p>
    <w:p>
      <w:pPr>
        <w:spacing w:before="0" w:after="60"/>
      </w:pPr>
    </w:p>
    <w:p>
      <w:pPr>
        <w:spacing w:before="260" w:after="80"/>
        <w:pBdr>
          <w:bottom w:val="single" w:sz="8" w:space="4" w:color="C9A84C"/>
        </w:pBdr>
      </w:pPr>
      <w:r>
        <w:rPr>
          <w:rFonts w:ascii="Arial" w:hAnsi="Arial"/>
          <w:b/>
          <w:sz w:val="26"/>
          <w:color w:val="C2610A"/>
        </w:rPr>
        <w:t>4.  Source of Wealth</w:t>
      </w:r>
    </w:p>
    <w:p>
      <w:pPr>
        <w:spacing w:before="80" w:after="60"/>
        <w:shd w:val="clear" w:color="auto" w:fill="FFF7ED"/>
        <w:pBdr>
          <w:left w:val="single" w:sz="18" w:space="6" w:color="C2610A"/>
        </w:pBdr>
        <w:ind w:left="540"/>
        <w:tabs>
          <w:tab w:val="left" w:pos="1440"/>
        </w:tabs>
      </w:pPr>
      <w:r>
        <w:rPr>
          <w:rFonts w:ascii="Arial" w:hAnsi="Arial"/>
          <w:sz w:val="21"/>
          <w:color w:val="1A1A1A"/>
        </w:rPr>
        <w:tab/>
        <w:t>The primary source of wealth for the subjects appears to be derived from the procurement and export of electronic components, particularly those subject to export controls. Trident International Corp. operated by acquiring U.S.-origin items, including controlled technologies, and transshipping them to Russia via intermediaries. This business model generated revenue through the sale of these components, often under false pretenses regarding their end-use and destination.</w:t>
      </w:r>
    </w:p>
    <w:p>
      <w:pPr>
        <w:spacing w:before="60" w:after="60"/>
        <w:shd w:val="clear" w:color="auto" w:fill="FFF7ED"/>
        <w:pBdr>
          <w:left w:val="single" w:sz="18" w:space="6" w:color="C2610A"/>
        </w:pBdr>
        <w:ind w:left="540"/>
        <w:tabs>
          <w:tab w:val="left" w:pos="1440"/>
        </w:tabs>
      </w:pPr>
      <w:r>
        <w:rPr>
          <w:rFonts w:ascii="Arial" w:hAnsi="Arial"/>
          <w:sz w:val="21"/>
          <w:color w:val="1A1A1A"/>
        </w:rPr>
        <w:tab/>
        <w:t>Financial transactions linked to Kenovetco Ltd. and other associated entities further indicate that wealth accumulation occurred through these export activities. The involvement in the Russian Laundromat scheme, as revealed by OCCRP investigations, suggests additional channels of wealth generation through illicit financial flows. These include transactions where shell companies facilitated the movement of funds, with Trident International Corp. receiving payments as part of this network.</w:t>
      </w:r>
    </w:p>
    <w:p>
      <w:pPr>
        <w:spacing w:before="60" w:after="60"/>
        <w:shd w:val="clear" w:color="auto" w:fill="FFF7ED"/>
        <w:pBdr>
          <w:left w:val="single" w:sz="18" w:space="6" w:color="C2610A"/>
        </w:pBdr>
        <w:ind w:left="540"/>
        <w:tabs>
          <w:tab w:val="left" w:pos="1440"/>
        </w:tabs>
      </w:pPr>
      <w:r>
        <w:rPr>
          <w:rFonts w:ascii="Arial" w:hAnsi="Arial"/>
          <w:sz w:val="21"/>
          <w:color w:val="1A1A1A"/>
        </w:rPr>
        <w:tab/>
        <w:t>The combination of direct export activities and participation in broader</w:t>
      </w:r>
    </w:p>
    <w:p>
      <w:pPr>
        <w:spacing w:before="0" w:after="60"/>
      </w:pPr>
    </w:p>
    <w:p>
      <w:pPr>
        <w:spacing w:before="200" w:after="20"/>
        <w:pBdr>
          <w:bottom w:val="single" w:sz="4" w:space="4" w:color="D0D7E3"/>
        </w:pBdr>
      </w:pPr>
      <w:r>
        <w:rPr>
          <w:rFonts w:ascii="Arial" w:hAnsi="Arial"/>
          <w:b/>
          <w:sz w:val="16"/>
          <w:color w:val="4A5568"/>
        </w:rPr>
        <w:t>Disclaimer</w:t>
      </w:r>
    </w:p>
    <w:p>
      <w:pPr>
        <w:spacing w:before="20" w:after="0"/>
      </w:pPr>
      <w:r>
        <w:rPr>
          <w:rFonts w:ascii="Arial" w:hAnsi="Arial"/>
          <w:i/>
          <w:sz w:val="15"/>
          <w:color w:val="4A5568"/>
        </w:rPr>
        <w:t>Generated by Beaver.AI using publicly available internet sources. This report reflects analysis based on patented Beaver.AI Agent and is strictly confidential for internal compliance use only. All findings require independent verification before use in legal, regulatory, or onboarding decisions.</w:t>
      </w:r>
    </w:p>
    <w:sectPr w:rsidR="00FC693F" w:rsidRPr="0006063C" w:rsidSect="00034616">
      <w:headerReference w:type="default" r:id="rId9"/>
      <w:pgSz w:w="11909" w:h="16834"/>
      <w:pgMar w:top="1152" w:right="1296" w:bottom="936" w:left="1296"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40"/>
      <w:tabs>
        <w:tab w:val="right" w:pos="9317"/>
      </w:tabs>
    </w:pPr>
    <w:r>
      <w:drawing>
        <wp:inline xmlns:a="http://schemas.openxmlformats.org/drawingml/2006/main" xmlns:pic="http://schemas.openxmlformats.org/drawingml/2006/picture">
          <wp:extent cx="987905" cy="548640"/>
          <wp:docPr id="1" name="Picture 1"/>
          <wp:cNvGraphicFramePr>
            <a:graphicFrameLocks noChangeAspect="1"/>
          </wp:cNvGraphicFramePr>
          <a:graphic>
            <a:graphicData uri="http://schemas.openxmlformats.org/drawingml/2006/picture">
              <pic:pic>
                <pic:nvPicPr>
                  <pic:cNvPr id="0" name="logo_beaver_final.png"/>
                  <pic:cNvPicPr/>
                </pic:nvPicPr>
                <pic:blipFill>
                  <a:blip r:embed="rId1"/>
                  <a:stretch>
                    <a:fillRect/>
                  </a:stretch>
                </pic:blipFill>
                <pic:spPr>
                  <a:xfrm>
                    <a:off x="0" y="0"/>
                    <a:ext cx="987905" cy="54864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