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0" w:after="80"/>
        <w:jc w:val="center"/>
      </w:pPr>
      <w:r>
        <w:rPr>
          <w:rFonts w:ascii="Arial" w:hAnsi="Arial"/>
          <w:b/>
          <w:sz w:val="44"/>
          <w:color w:val="1B3A6B"/>
        </w:rPr>
        <w:t>CLIENT INTELLIGENCE REPORT</w:t>
      </w:r>
    </w:p>
    <w:p>
      <w:pPr>
        <w:spacing w:before="0" w:after="60"/>
        <w:jc w:val="center"/>
        <w:pBdr>
          <w:bottom w:val="single" w:sz="6" w:space="4" w:color="C9A84C"/>
        </w:pBdr>
      </w:pPr>
      <w:r>
        <w:rPr>
          <w:rFonts w:ascii="Arial" w:hAnsi="Arial"/>
          <w:i/>
          <w:sz w:val="24"/>
          <w:color w:val="2E75B6"/>
        </w:rPr>
        <w:t>Risk Assessment</w:t>
      </w:r>
    </w:p>
    <w:p>
      <w:pPr>
        <w:spacing w:before="60" w:after="20"/>
        <w:jc w:val="center"/>
      </w:pPr>
      <w:r>
        <w:rPr>
          <w:rFonts w:ascii="Arial" w:hAnsi="Arial"/>
          <w:b/>
          <w:sz w:val="32"/>
          <w:color w:val="C0392B"/>
        </w:rPr>
        <w:t>Case Ref:  web_case_498</w:t>
      </w:r>
    </w:p>
    <w:p>
      <w:pPr>
        <w:spacing w:before="10" w:after="160"/>
        <w:jc w:val="center"/>
      </w:pPr>
      <w:r>
        <w:rPr>
          <w:rFonts w:ascii="Arial" w:hAnsi="Arial"/>
          <w:b w:val="0"/>
          <w:sz w:val="18"/>
          <w:color w:val="4A5568"/>
        </w:rPr>
        <w:t>June 08, 2026</w:t>
      </w:r>
      <w:r>
        <w:rPr>
          <w:rFonts w:ascii="Arial" w:hAnsi="Arial"/>
          <w:b w:val="0"/>
          <w:sz w:val="18"/>
          <w:color w:val="D0D7E3"/>
        </w:rPr>
        <w:t xml:space="preserve">   |   </w:t>
      </w:r>
      <w:r>
        <w:rPr>
          <w:rFonts w:ascii="Arial" w:hAnsi="Arial"/>
          <w:b/>
          <w:sz w:val="18"/>
          <w:color w:val="C0392B"/>
        </w:rPr>
        <w:t>CONFIDENTIAL</w:t>
      </w:r>
    </w:p>
    <w:p>
      <w:pPr>
        <w:spacing w:before="260" w:after="80"/>
        <w:pBdr>
          <w:bottom w:val="single" w:sz="8" w:space="4" w:color="C9A84C"/>
        </w:pBdr>
      </w:pPr>
      <w:r>
        <w:rPr>
          <w:rFonts w:ascii="Arial" w:hAnsi="Arial"/>
          <w:b/>
          <w:sz w:val="26"/>
          <w:color w:val="1B3A6B"/>
        </w:rPr>
        <w:t>1.  Background</w:t>
      </w:r>
    </w:p>
    <w:p>
      <w:pPr>
        <w:spacing w:before="80" w:after="60"/>
        <w:shd w:val="clear" w:color="auto" w:fill="F5F7FA"/>
        <w:pBdr>
          <w:left w:val="single" w:sz="18" w:space="6" w:color="2E75B6"/>
        </w:pBdr>
        <w:ind w:left="540"/>
        <w:tabs>
          <w:tab w:val="left" w:pos="1440"/>
        </w:tabs>
      </w:pPr>
      <w:r>
        <w:rPr>
          <w:rFonts w:ascii="Arial" w:hAnsi="Arial"/>
          <w:sz w:val="21"/>
          <w:color w:val="1A1A1A"/>
        </w:rPr>
        <w:tab/>
        <w:t>Anshuman Dube, also known as Anshuman Dube, is associated with GT Biopharma Inc and Viva Ventures, LLC. He is a director and 10 percent owner of GT Biopharma Inc. GT Biopharma Inc is in the biopharmaceutical industry, focusing on clinical-stage immuno-oncology therapeutics. Viva Ventures, LLC is a pooled investment fund, specifically a private equity fund. Anshuman Dube is also linked to Viva-SX LLC - Series B as an executive officer.</w:t>
      </w:r>
    </w:p>
    <w:p>
      <w:pPr>
        <w:spacing w:before="60" w:after="60"/>
        <w:shd w:val="clear" w:color="auto" w:fill="F5F7FA"/>
        <w:pBdr>
          <w:left w:val="single" w:sz="18" w:space="6" w:color="2E75B6"/>
        </w:pBdr>
        <w:ind w:left="540"/>
        <w:tabs>
          <w:tab w:val="left" w:pos="1440"/>
        </w:tabs>
      </w:pPr>
      <w:r>
        <w:rPr>
          <w:rFonts w:ascii="Arial" w:hAnsi="Arial"/>
          <w:sz w:val="21"/>
          <w:color w:val="1A1A1A"/>
        </w:rPr>
        <w:tab/>
        <w:t>Gregory Berk is the President of R&amp;D and CMO at GT Biopharma Inc. Manu Ohri is the CFO &amp; Secretary at GT Biopharma Inc.</w:t>
      </w:r>
    </w:p>
    <w:p>
      <w:pPr>
        <w:spacing w:before="60" w:after="60"/>
        <w:shd w:val="clear" w:color="auto" w:fill="F5F7FA"/>
        <w:pBdr>
          <w:left w:val="single" w:sz="18" w:space="6" w:color="2E75B6"/>
        </w:pBdr>
        <w:ind w:left="540"/>
        <w:tabs>
          <w:tab w:val="left" w:pos="1440"/>
        </w:tabs>
      </w:pPr>
      <w:r>
        <w:rPr>
          <w:rFonts w:ascii="Arial" w:hAnsi="Arial"/>
          <w:sz w:val="21"/>
          <w:color w:val="1A1A1A"/>
        </w:rPr>
        <w:tab/>
        <w:t>Karabi Dube, who is 70 years old, is a relative of Anshuman Dube. She resides in Simi Valley, CA, and has been at her current address for about 15 years. Karabi Dube has lived at multiple addresses in California, including Simi Valley and Chatsworth. She is likely married to Asit B Dube. Other relatives include Achintya Dube, Ajoy Dube, Arindam Dube, Asok Dube, Biswarupa Dube, Kabita Dube, Sangita Dube (47), and Sangita Dube (37), and Amiya Dube.</w:t>
      </w:r>
    </w:p>
    <w:p>
      <w:pPr>
        <w:spacing w:before="60" w:after="60"/>
        <w:shd w:val="clear" w:color="auto" w:fill="F5F7FA"/>
        <w:pBdr>
          <w:left w:val="single" w:sz="18" w:space="6" w:color="2E75B6"/>
        </w:pBdr>
        <w:ind w:left="540"/>
        <w:tabs>
          <w:tab w:val="left" w:pos="1440"/>
        </w:tabs>
      </w:pPr>
      <w:r>
        <w:rPr>
          <w:rFonts w:ascii="Arial" w:hAnsi="Arial"/>
          <w:sz w:val="21"/>
          <w:color w:val="1A1A1A"/>
        </w:rPr>
        <w:tab/>
        <w:t>The relationship among the subjects in scope includes Anshuman Dube being a key executive at GT Biopharma Inc, with Gregory Berk and Manu Ohri also serving as key executives. Anshuman Dube is also involved with Viva Ventures, LLC and Viva-SX LLC - Series B.</w:t>
      </w:r>
    </w:p>
    <w:p>
      <w:pPr>
        <w:spacing w:before="60" w:after="60"/>
        <w:shd w:val="clear" w:color="auto" w:fill="F5F7FA"/>
        <w:pBdr>
          <w:left w:val="single" w:sz="18" w:space="6" w:color="2E75B6"/>
        </w:pBdr>
        <w:ind w:left="540"/>
        <w:tabs>
          <w:tab w:val="left" w:pos="1440"/>
        </w:tabs>
      </w:pPr>
      <w:r>
        <w:rPr>
          <w:rFonts w:ascii="Arial" w:hAnsi="Arial"/>
          <w:sz w:val="21"/>
          <w:color w:val="1A1A1A"/>
        </w:rPr>
        <w:tab/>
        <w:t>Viva-SX LLC - Series B is part of a pooled investment fund, with Anshuman Dube serving as the managing member of the managing member of the issuer. The fund is registered in Delaware and has its principal place of business in Las Vegas, NV.</w:t>
      </w:r>
    </w:p>
    <w:p>
      <w:pPr>
        <w:spacing w:before="60" w:after="60"/>
        <w:shd w:val="clear" w:color="auto" w:fill="F5F7FA"/>
        <w:pBdr>
          <w:left w:val="single" w:sz="18" w:space="6" w:color="2E75B6"/>
        </w:pBdr>
        <w:ind w:left="540"/>
        <w:tabs>
          <w:tab w:val="left" w:pos="1440"/>
        </w:tabs>
      </w:pPr>
      <w:r>
        <w:rPr>
          <w:rFonts w:ascii="Arial" w:hAnsi="Arial"/>
          <w:sz w:val="21"/>
          <w:color w:val="1A1A1A"/>
        </w:rPr>
        <w:tab/>
        <w:t>GT Biopharma Inc is registered in Delaware and has its principal place of business in Beverly Hills, CA. The company has been involved in various SEC filings, including Form 8-K, which details changes in directors and officers.</w:t>
      </w:r>
    </w:p>
    <w:p>
      <w:pPr>
        <w:spacing w:before="60" w:after="60"/>
        <w:shd w:val="clear" w:color="auto" w:fill="F5F7FA"/>
        <w:pBdr>
          <w:left w:val="single" w:sz="18" w:space="6" w:color="2E75B6"/>
        </w:pBdr>
        <w:ind w:left="540"/>
        <w:tabs>
          <w:tab w:val="left" w:pos="1440"/>
        </w:tabs>
      </w:pPr>
      <w:r>
        <w:rPr>
          <w:rFonts w:ascii="Arial" w:hAnsi="Arial"/>
          <w:sz w:val="21"/>
          <w:color w:val="1A1A1A"/>
        </w:rPr>
        <w:tab/>
        <w:t>Anshuman Dube has a mailing address in Los Angeles, CA 90071. Karabi Dube has a phone number (805) 813-8029 and an email address [email protected].</w:t>
      </w:r>
    </w:p>
    <w:p>
      <w:pPr>
        <w:spacing w:before="60" w:after="60"/>
        <w:shd w:val="clear" w:color="auto" w:fill="F5F7FA"/>
        <w:pBdr>
          <w:left w:val="single" w:sz="18" w:space="6" w:color="2E75B6"/>
        </w:pBdr>
        <w:ind w:left="540"/>
        <w:tabs>
          <w:tab w:val="left" w:pos="1440"/>
        </w:tabs>
      </w:pPr>
      <w:r>
        <w:rPr>
          <w:rFonts w:ascii="Arial" w:hAnsi="Arial"/>
          <w:sz w:val="21"/>
          <w:color w:val="1A1A1A"/>
        </w:rPr>
        <w:tab/>
        <w:t>The subjects in scope are interconnected through their roles in GT Biopharma Inc and Viva Ventures, LLC, with Anshuman Dube being a central figure.</w:t>
      </w:r>
    </w:p>
    <w:p>
      <w:pPr>
        <w:spacing w:before="0" w:after="60"/>
      </w:pPr>
    </w:p>
    <w:p>
      <w:pPr>
        <w:spacing w:before="260" w:after="80"/>
        <w:pBdr>
          <w:bottom w:val="single" w:sz="8" w:space="4" w:color="C9A84C"/>
        </w:pBdr>
      </w:pPr>
      <w:r>
        <w:rPr>
          <w:rFonts w:ascii="Arial" w:hAnsi="Arial"/>
          <w:b/>
          <w:sz w:val="26"/>
          <w:color w:val="C0392B"/>
        </w:rPr>
        <w:t>2.  Identified Risks</w:t>
      </w:r>
    </w:p>
    <w:p>
      <w:pPr>
        <w:spacing w:before="80" w:after="60"/>
        <w:shd w:val="clear" w:color="auto" w:fill="FFF0F0"/>
        <w:pBdr>
          <w:left w:val="single" w:sz="18" w:space="6" w:color="C0392B"/>
        </w:pBdr>
        <w:ind w:left="540"/>
        <w:tabs>
          <w:tab w:val="left" w:pos="1440"/>
        </w:tabs>
      </w:pPr>
      <w:r>
        <w:rPr>
          <w:rFonts w:ascii="Arial" w:hAnsi="Arial"/>
          <w:sz w:val="21"/>
          <w:color w:val="1A1A1A"/>
        </w:rPr>
        <w:tab/>
        <w:t>GT Biopharma Inc has faced financial challenges, as indicated by its declining cash reserves and increasing net losses. In the quarter ended March 31, 2026, the company reported a net loss of approximately $2.8 million, up from $0.8 million in the comparable 2025 period. Research and development expenses decreased to about $0.4 million from $1.1 million, while selling, general, and administrative expenses (excluding stock compensation) rose to about $2.4 million from $0.8 million. The company’s cash and equivalents were around $9 million, expected to fund operations through Q4 2026. However, in the previous year, cash reserves were lower, with $7 million as of December 31, 2025, and an unaudited proforma cash balance of $9 million as of January 31, 2026.</w:t>
      </w:r>
    </w:p>
    <w:p>
      <w:pPr>
        <w:spacing w:before="60" w:after="60"/>
        <w:shd w:val="clear" w:color="auto" w:fill="FFF0F0"/>
        <w:pBdr>
          <w:left w:val="single" w:sz="18" w:space="6" w:color="C0392B"/>
        </w:pBdr>
        <w:ind w:left="540"/>
        <w:tabs>
          <w:tab w:val="left" w:pos="1440"/>
        </w:tabs>
      </w:pPr>
      <w:r>
        <w:rPr>
          <w:rFonts w:ascii="Arial" w:hAnsi="Arial"/>
          <w:sz w:val="21"/>
          <w:color w:val="1A1A1A"/>
        </w:rPr>
        <w:tab/>
        <w:t>The company’s financial struggles are further highlighted by its reliance on external funding and the need to extend its operational runway. In its third quarter 2025 report, GT Biopharma Inc had only $2.6 million in cash, which was expected to fund operations into early 2026. The company has been advancing its clinical trials, including Phase 1 trials for Gtb-3650 and Gtb-5550, but these efforts require significant capital. The financial strain raises concerns about the company’s ability to sustain its operations and complete its clinical trials without additional funding.</w:t>
      </w:r>
    </w:p>
    <w:p>
      <w:pPr>
        <w:spacing w:before="60" w:after="60"/>
        <w:shd w:val="clear" w:color="auto" w:fill="FFF0F0"/>
        <w:pBdr>
          <w:left w:val="single" w:sz="18" w:space="6" w:color="C0392B"/>
        </w:pBdr>
        <w:ind w:left="540"/>
        <w:tabs>
          <w:tab w:val="left" w:pos="1440"/>
        </w:tabs>
      </w:pPr>
      <w:r>
        <w:rPr>
          <w:rFonts w:ascii="Arial" w:hAnsi="Arial"/>
          <w:sz w:val="21"/>
          <w:color w:val="1A1A1A"/>
        </w:rPr>
        <w:tab/>
        <w:t>There are also risks related to the company’s executive compensation and potential conflicts of interest. Anshuman Dube, as a director and 10 percent owner, has significant influence over GT Biopharma Inc. Additionally, Theorem Group, LLC, where Anshuman Dube serves as managing director, has a business relationship with GT Biopharma Inc. The company sub-leases office space from Theorem Capital, LLC, an affiliate of Theorem Group, LLC, at a monthly rate of $5,000. While the company believes the rental fee is favorable compared to unaffiliated persons, this arrangement could raise questions about potential self-dealing or conflicts of interest.</w:t>
      </w:r>
    </w:p>
    <w:p>
      <w:pPr>
        <w:spacing w:before="60" w:after="60"/>
        <w:shd w:val="clear" w:color="auto" w:fill="FFF0F0"/>
        <w:pBdr>
          <w:left w:val="single" w:sz="18" w:space="6" w:color="C0392B"/>
        </w:pBdr>
        <w:ind w:left="540"/>
        <w:tabs>
          <w:tab w:val="left" w:pos="1440"/>
        </w:tabs>
      </w:pPr>
      <w:r>
        <w:rPr>
          <w:rFonts w:ascii="Arial" w:hAnsi="Arial"/>
          <w:sz w:val="21"/>
          <w:color w:val="1A1A1A"/>
        </w:rPr>
        <w:tab/>
        <w:t>Moreover, the company’s reliance on a few key executives and directors may pose risks. The departure of directors, such as Maurice Spitz in 2010, and the appointment of Anshuman Dube to fill the vacancy, could indicate instability or changes in the company’s leadership. Although Mr. Spitz had no disagreements with the company, the turnover in the board could affect the company’s strategic direction and decision-making.</w:t>
      </w:r>
    </w:p>
    <w:p>
      <w:pPr>
        <w:spacing w:before="60" w:after="60"/>
        <w:shd w:val="clear" w:color="auto" w:fill="FFF0F0"/>
        <w:pBdr>
          <w:left w:val="single" w:sz="18" w:space="6" w:color="C0392B"/>
        </w:pBdr>
        <w:ind w:left="540"/>
        <w:tabs>
          <w:tab w:val="left" w:pos="1440"/>
        </w:tabs>
      </w:pPr>
      <w:r>
        <w:rPr>
          <w:rFonts w:ascii="Arial" w:hAnsi="Arial"/>
          <w:sz w:val="21"/>
          <w:color w:val="1A1A1A"/>
        </w:rPr>
        <w:tab/>
        <w:t>GT Biopharma Inc’s financial reports also show increasing net losses and declining cash reserves, which may impact investor confidence and the company’s ability to attract funding. The company’s operational expenses, particularly in research and development, are critical for advancing its clinical trials, but the financial constraints may hinder its progress.</w:t>
      </w:r>
    </w:p>
    <w:p>
      <w:pPr>
        <w:spacing w:before="60" w:after="60"/>
        <w:shd w:val="clear" w:color="auto" w:fill="FFF0F0"/>
        <w:pBdr>
          <w:left w:val="single" w:sz="18" w:space="6" w:color="C0392B"/>
        </w:pBdr>
        <w:ind w:left="540"/>
        <w:tabs>
          <w:tab w:val="left" w:pos="1440"/>
        </w:tabs>
      </w:pPr>
      <w:r>
        <w:rPr>
          <w:rFonts w:ascii="Arial" w:hAnsi="Arial"/>
          <w:sz w:val="21"/>
          <w:color w:val="1A1A1A"/>
        </w:rPr>
        <w:tab/>
        <w:t>In summary, GT Biopharma Inc faces financial risks due to declining cash reserves and increasing net losses. The company’s reliance on external funding and potential conflicts of interest related to its executive relationships and business arrangements may further exacerbate these risks. The financial challenges could impact the company’s ability to sustain its operations and complete its clinical trials, potentially affecting its long-term viability.</w:t>
      </w:r>
    </w:p>
    <w:p>
      <w:pPr>
        <w:spacing w:before="0" w:after="60"/>
      </w:pPr>
    </w:p>
    <w:p>
      <w:pPr>
        <w:spacing w:before="260" w:after="80"/>
        <w:pBdr>
          <w:bottom w:val="single" w:sz="8" w:space="4" w:color="C9A84C"/>
        </w:pBdr>
      </w:pPr>
      <w:r>
        <w:rPr>
          <w:rFonts w:ascii="Arial" w:hAnsi="Arial"/>
          <w:b/>
          <w:sz w:val="26"/>
          <w:color w:val="6B21A8"/>
        </w:rPr>
        <w:t>3.  PEP Association</w:t>
      </w:r>
    </w:p>
    <w:p>
      <w:pPr>
        <w:spacing w:before="80" w:after="60"/>
        <w:shd w:val="clear" w:color="auto" w:fill="F5F0FF"/>
        <w:pBdr>
          <w:left w:val="single" w:sz="18" w:space="6" w:color="6B21A8"/>
        </w:pBdr>
        <w:ind w:left="540"/>
        <w:tabs>
          <w:tab w:val="left" w:pos="1440"/>
        </w:tabs>
      </w:pPr>
      <w:r>
        <w:rPr>
          <w:rFonts w:ascii="Arial" w:hAnsi="Arial"/>
          <w:sz w:val="21"/>
          <w:color w:val="1A1A1A"/>
        </w:rPr>
        <w:tab/>
        <w:t>There is no direct information provided in the materials linking Anshuman Dube, Gregory Berk, Manu Ohri, or the entities GT Biopharma Inc and Viva Ventures, LLC to Politically Exposed Persons (PEPs). The materials focus on the business activities, financial reports, and executive appointments of GT Biopharma Inc and the investment funds associated with Anshuman Dube. Without additional information on political connections or exposure to PEPs, no specific associations can be identified based on the provided data.</w:t>
      </w:r>
    </w:p>
    <w:p>
      <w:pPr>
        <w:spacing w:before="0" w:after="60"/>
      </w:pPr>
    </w:p>
    <w:p>
      <w:pPr>
        <w:spacing w:before="260" w:after="80"/>
        <w:pBdr>
          <w:bottom w:val="single" w:sz="8" w:space="4" w:color="C9A84C"/>
        </w:pBdr>
      </w:pPr>
      <w:r>
        <w:rPr>
          <w:rFonts w:ascii="Arial" w:hAnsi="Arial"/>
          <w:b/>
          <w:sz w:val="26"/>
          <w:color w:val="C2610A"/>
        </w:rPr>
        <w:t>4.  Source of Wealth</w:t>
      </w:r>
    </w:p>
    <w:p>
      <w:pPr>
        <w:spacing w:before="80" w:after="60"/>
        <w:shd w:val="clear" w:color="auto" w:fill="FFF7ED"/>
        <w:pBdr>
          <w:left w:val="single" w:sz="18" w:space="6" w:color="C2610A"/>
        </w:pBdr>
        <w:ind w:left="540"/>
        <w:tabs>
          <w:tab w:val="left" w:pos="1440"/>
        </w:tabs>
      </w:pPr>
      <w:r>
        <w:rPr>
          <w:rFonts w:ascii="Arial" w:hAnsi="Arial"/>
          <w:sz w:val="21"/>
          <w:color w:val="1A1A1A"/>
        </w:rPr>
        <w:tab/>
        <w:t>The primary source of wealth for the subjects in scope appears to be through their involvement in GT Biopharma Inc and Viva Ventures, LLC. GT Biopharma Inc is a biopharmaceutical company developing clinical-stage immuno-oncology therapeutics, which generates revenue through its operations and potential funding from investors. The company has been raising capital through various means, including offerings and investments.</w:t>
      </w:r>
    </w:p>
    <w:p>
      <w:pPr>
        <w:spacing w:before="60" w:after="60"/>
        <w:shd w:val="clear" w:color="auto" w:fill="FFF7ED"/>
        <w:pBdr>
          <w:left w:val="single" w:sz="18" w:space="6" w:color="C2610A"/>
        </w:pBdr>
        <w:ind w:left="540"/>
        <w:tabs>
          <w:tab w:val="left" w:pos="1440"/>
        </w:tabs>
      </w:pPr>
      <w:r>
        <w:rPr>
          <w:rFonts w:ascii="Arial" w:hAnsi="Arial"/>
          <w:sz w:val="21"/>
          <w:color w:val="1A1A1A"/>
        </w:rPr>
        <w:tab/>
        <w:t>Viva Ventures, LLC, as a pooled investment fund, likely generates wealth through investments in various assets and companies. Anshuman Dube, as a key executive and owner, benefits from his roles in these entities. Additionally, his involvement in Theorem Capital, LLC and Theorem Group, LLC, which are private equity and corporate advisory firms, may contribute to his wealth.</w:t>
      </w:r>
    </w:p>
    <w:p>
      <w:pPr>
        <w:spacing w:before="60" w:after="60"/>
        <w:shd w:val="clear" w:color="auto" w:fill="FFF7ED"/>
        <w:pBdr>
          <w:left w:val="single" w:sz="18" w:space="6" w:color="C2610A"/>
        </w:pBdr>
        <w:ind w:left="540"/>
        <w:tabs>
          <w:tab w:val="left" w:pos="1440"/>
        </w:tabs>
      </w:pPr>
      <w:r>
        <w:rPr>
          <w:rFonts w:ascii="Arial" w:hAnsi="Arial"/>
          <w:sz w:val="21"/>
          <w:color w:val="1A1A1A"/>
        </w:rPr>
        <w:tab/>
        <w:t>The materials also indicate that Viva-SX LLC - Series B conducted an exempt offering of securities, raising $24,999,968. This capital is likely used for investment purposes, generating returns for the fund and its members. Anshuman Dube, as the managing member of the managing member of the issuer, plays a crucial role in managing these funds and their investments.</w:t>
      </w:r>
    </w:p>
    <w:p>
      <w:pPr>
        <w:spacing w:before="60" w:after="60"/>
        <w:shd w:val="clear" w:color="auto" w:fill="FFF7ED"/>
        <w:pBdr>
          <w:left w:val="single" w:sz="18" w:space="6" w:color="C2610A"/>
        </w:pBdr>
        <w:ind w:left="540"/>
        <w:tabs>
          <w:tab w:val="left" w:pos="1440"/>
        </w:tabs>
      </w:pPr>
      <w:r>
        <w:rPr>
          <w:rFonts w:ascii="Arial" w:hAnsi="Arial"/>
          <w:sz w:val="21"/>
          <w:color w:val="1A1A1A"/>
        </w:rPr>
        <w:tab/>
        <w:t>Furthermore, GT Biopharma Inc’s financial reports show that the company has been securing funding to support its operations and clinical trials. The sources of this funding may include investments, grants, or partnerships, which contribute to the company’s financial stability and growth.</w:t>
      </w:r>
    </w:p>
    <w:p>
      <w:pPr>
        <w:spacing w:before="60" w:after="60"/>
        <w:shd w:val="clear" w:color="auto" w:fill="FFF7ED"/>
        <w:pBdr>
          <w:left w:val="single" w:sz="18" w:space="6" w:color="C2610A"/>
        </w:pBdr>
        <w:ind w:left="540"/>
        <w:tabs>
          <w:tab w:val="left" w:pos="1440"/>
        </w:tabs>
      </w:pPr>
      <w:r>
        <w:rPr>
          <w:rFonts w:ascii="Arial" w:hAnsi="Arial"/>
          <w:sz w:val="21"/>
          <w:color w:val="1A1A1A"/>
        </w:rPr>
        <w:tab/>
        <w:t>In summary, the sources of wealth for the subjects in scope are primarily linked to their roles in GT Biopharma Inc and Viva Ventures, LLC, as well as related investment and private equity activities. These entities generate revenue through their operations, investments, and capital raising efforts.</w:t>
      </w:r>
    </w:p>
    <w:p>
      <w:pPr>
        <w:spacing w:before="0" w:after="60"/>
      </w:pPr>
    </w:p>
    <w:p>
      <w:pPr>
        <w:spacing w:before="200" w:after="20"/>
        <w:pBdr>
          <w:bottom w:val="single" w:sz="4" w:space="4" w:color="D0D7E3"/>
        </w:pBdr>
      </w:pPr>
      <w:r>
        <w:rPr>
          <w:rFonts w:ascii="Arial" w:hAnsi="Arial"/>
          <w:b/>
          <w:sz w:val="16"/>
          <w:color w:val="4A5568"/>
        </w:rPr>
        <w:t>Disclaimer</w:t>
      </w:r>
    </w:p>
    <w:p>
      <w:pPr>
        <w:spacing w:before="20" w:after="0"/>
      </w:pPr>
      <w:r>
        <w:rPr>
          <w:rFonts w:ascii="Arial" w:hAnsi="Arial"/>
          <w:i/>
          <w:sz w:val="15"/>
          <w:color w:val="4A5568"/>
        </w:rPr>
        <w:t>Generated by Beaver.AI using publicly available internet sources. This report reflects analysis based on patented Beaver.AI Agent and is strictly confidential for internal compliance use only. All findings require independent verification before use in legal, regulatory, or onboarding decisions.</w:t>
      </w:r>
    </w:p>
    <w:sectPr w:rsidR="00FC693F" w:rsidRPr="0006063C" w:rsidSect="00034616">
      <w:headerReference w:type="default" r:id="rId9"/>
      <w:pgSz w:w="11909" w:h="16834"/>
      <w:pgMar w:top="1152" w:right="1296" w:bottom="936" w:left="1296"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40"/>
      <w:tabs>
        <w:tab w:val="right" w:pos="9317"/>
      </w:tabs>
    </w:pPr>
    <w:r>
      <w:drawing>
        <wp:inline xmlns:a="http://schemas.openxmlformats.org/drawingml/2006/main" xmlns:pic="http://schemas.openxmlformats.org/drawingml/2006/picture">
          <wp:extent cx="987905" cy="548640"/>
          <wp:docPr id="1" name="Picture 1"/>
          <wp:cNvGraphicFramePr>
            <a:graphicFrameLocks noChangeAspect="1"/>
          </wp:cNvGraphicFramePr>
          <a:graphic>
            <a:graphicData uri="http://schemas.openxmlformats.org/drawingml/2006/picture">
              <pic:pic>
                <pic:nvPicPr>
                  <pic:cNvPr id="0" name="logo_beaver_final.png"/>
                  <pic:cNvPicPr/>
                </pic:nvPicPr>
                <pic:blipFill>
                  <a:blip r:embed="rId1"/>
                  <a:stretch>
                    <a:fillRect/>
                  </a:stretch>
                </pic:blipFill>
                <pic:spPr>
                  <a:xfrm>
                    <a:off x="0" y="0"/>
                    <a:ext cx="987905" cy="54864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