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80"/>
        <w:jc w:val="center"/>
      </w:pPr>
      <w:r>
        <w:rPr>
          <w:rFonts w:ascii="Arial" w:hAnsi="Arial"/>
          <w:b/>
          <w:sz w:val="44"/>
          <w:color w:val="1B3A6B"/>
        </w:rPr>
        <w:t>CLIENT INTELLIGENCE REPORT</w:t>
      </w:r>
    </w:p>
    <w:p>
      <w:pPr>
        <w:spacing w:before="0" w:after="60"/>
        <w:jc w:val="center"/>
        <w:pBdr>
          <w:bottom w:val="single" w:sz="6" w:space="4" w:color="C9A84C"/>
        </w:pBdr>
      </w:pPr>
      <w:r>
        <w:rPr>
          <w:rFonts w:ascii="Arial" w:hAnsi="Arial"/>
          <w:i/>
          <w:sz w:val="24"/>
          <w:color w:val="2E75B6"/>
        </w:rPr>
        <w:t>Risk Assessment</w:t>
      </w:r>
    </w:p>
    <w:p>
      <w:pPr>
        <w:spacing w:before="60" w:after="20"/>
        <w:jc w:val="center"/>
      </w:pPr>
      <w:r>
        <w:rPr>
          <w:rFonts w:ascii="Arial" w:hAnsi="Arial"/>
          <w:b/>
          <w:sz w:val="32"/>
          <w:color w:val="C0392B"/>
        </w:rPr>
        <w:t>Case Ref:  web_case_609</w:t>
      </w:r>
    </w:p>
    <w:p>
      <w:pPr>
        <w:spacing w:before="10" w:after="160"/>
        <w:jc w:val="center"/>
      </w:pPr>
      <w:r>
        <w:rPr>
          <w:rFonts w:ascii="Arial" w:hAnsi="Arial"/>
          <w:b w:val="0"/>
          <w:sz w:val="18"/>
          <w:color w:val="4A5568"/>
        </w:rPr>
        <w:t>June 24, 2026</w:t>
      </w:r>
      <w:r>
        <w:rPr>
          <w:rFonts w:ascii="Arial" w:hAnsi="Arial"/>
          <w:b w:val="0"/>
          <w:sz w:val="18"/>
          <w:color w:val="D0D7E3"/>
        </w:rPr>
        <w:t xml:space="preserve">   |   </w:t>
      </w:r>
      <w:r>
        <w:rPr>
          <w:rFonts w:ascii="Arial" w:hAnsi="Arial"/>
          <w:b/>
          <w:sz w:val="18"/>
          <w:color w:val="C0392B"/>
        </w:rPr>
        <w:t>CONFIDENTIAL</w:t>
      </w:r>
    </w:p>
    <w:p>
      <w:pPr>
        <w:spacing w:before="260" w:after="80"/>
        <w:pBdr>
          <w:bottom w:val="single" w:sz="8" w:space="4" w:color="C9A84C"/>
        </w:pBdr>
      </w:pPr>
      <w:r>
        <w:rPr>
          <w:rFonts w:ascii="Arial" w:hAnsi="Arial"/>
          <w:b/>
          <w:sz w:val="26"/>
          <w:color w:val="1B3A6B"/>
        </w:rPr>
        <w:t>1.  Background</w:t>
      </w:r>
    </w:p>
    <w:p>
      <w:pPr>
        <w:spacing w:before="80" w:after="60"/>
        <w:shd w:val="clear" w:color="auto" w:fill="F5F7FA"/>
        <w:pBdr>
          <w:left w:val="single" w:sz="18" w:space="6" w:color="2E75B6"/>
        </w:pBdr>
        <w:ind w:left="540"/>
        <w:tabs>
          <w:tab w:val="left" w:pos="1440"/>
        </w:tabs>
      </w:pPr>
      <w:r>
        <w:rPr>
          <w:rFonts w:ascii="Arial" w:hAnsi="Arial"/>
          <w:sz w:val="21"/>
          <w:color w:val="1A1A1A"/>
        </w:rPr>
        <w:tab/>
        <w:t>Niki Shah, known for her "girl-next-door" image, is a Dubai-based Indian expatriate and social media influencer who has built a multimillionaire status through her relatable content focused on lifestyle, fashion, food, and travel. Born into the Jain community in Gujarat, India, she spent her childhood in Nairobi and Dubai before establishing her career in the UAE. Shah holds a Bachelor of Business Administration degree from the University of Wales (2007) and completed a Fashion course from City and Guilds (2008). She is currently pursuing professional makeup artistry. Her family, including her husband Hardik, parents V.K. Shah and Kala, and sister Chandni, plays a significant role in her personal and professional life. Chandni manages Shah’s finances, brand earnings, and sponsorships, forming a collaborative partnership critical to her success. Shah’s background in business and fashion, combined with her authentic online persona, has positioned her as a prominent figure in the influencer industry.</w:t>
      </w:r>
    </w:p>
    <w:p>
      <w:pPr>
        <w:spacing w:before="60" w:after="60"/>
        <w:shd w:val="clear" w:color="auto" w:fill="F5F7FA"/>
        <w:pBdr>
          <w:left w:val="single" w:sz="18" w:space="6" w:color="2E75B6"/>
        </w:pBdr>
        <w:ind w:left="540"/>
        <w:tabs>
          <w:tab w:val="left" w:pos="1440"/>
        </w:tabs>
      </w:pPr>
      <w:r>
        <w:rPr>
          <w:rFonts w:ascii="Arial" w:hAnsi="Arial"/>
          <w:sz w:val="21"/>
          <w:color w:val="1A1A1A"/>
        </w:rPr>
        <w:tab/>
        <w:t>Shah’s professional network extends beyond social media, with involvement in sustainability and consulting projects. She is associated with organizations like Net Impact and has contributed to initiatives such as deploying clean energy solutions in Puerto Rico and analyzing health equity in Newark, New Jersey. Her LinkedIn profile highlights roles such as Pro Bono Consultant for a health-focused non-profit and National Co-Chair of Outreach for South Asians for Biden, reflecting her diverse engagements. These activities underscore her multifaceted career, which blends digital influence with strategic and philanthropic endeavors.</w:t>
      </w:r>
    </w:p>
    <w:p>
      <w:pPr>
        <w:spacing w:before="0" w:after="60"/>
      </w:pPr>
    </w:p>
    <w:p>
      <w:pPr>
        <w:spacing w:before="260" w:after="80"/>
        <w:pBdr>
          <w:bottom w:val="single" w:sz="8" w:space="4" w:color="C9A84C"/>
        </w:pBdr>
      </w:pPr>
      <w:r>
        <w:rPr>
          <w:rFonts w:ascii="Arial" w:hAnsi="Arial"/>
          <w:b/>
          <w:sz w:val="26"/>
          <w:color w:val="C0392B"/>
        </w:rPr>
        <w:t>2.  Identified Risks</w:t>
      </w:r>
    </w:p>
    <w:p>
      <w:pPr>
        <w:spacing w:before="80" w:after="60"/>
        <w:shd w:val="clear" w:color="auto" w:fill="FFF0F0"/>
        <w:pBdr>
          <w:left w:val="single" w:sz="18" w:space="6" w:color="C0392B"/>
        </w:pBdr>
        <w:ind w:left="540"/>
        <w:tabs>
          <w:tab w:val="left" w:pos="1440"/>
        </w:tabs>
      </w:pPr>
      <w:r>
        <w:rPr>
          <w:rFonts w:ascii="Arial" w:hAnsi="Arial"/>
          <w:sz w:val="21"/>
          <w:color w:val="1A1A1A"/>
        </w:rPr>
        <w:tab/>
        <w:t>While the provided materials do not indicate direct involvement in criminal activities or overt negative publicity, Niki Shah’s high-profile status as a social media influencer introduces inherent reputational risks. Her large following (over one million Instagram followers) and partnerships with brands necessitate careful management of her public image, as missteps in content or endorsements could lead to scrutiny. For instance, her advocacy for vegan products and strict vegetarian principles, while central to her personal brand, could attract criticism if perceived as inconsistent or overly promotional. Additionally, her political involvement, such as her role in South Asians for Biden, may expose her to polarized opinions, particularly in regions with diverse political sentiments.</w:t>
      </w:r>
    </w:p>
    <w:p>
      <w:pPr>
        <w:spacing w:before="60" w:after="60"/>
        <w:shd w:val="clear" w:color="auto" w:fill="FFF0F0"/>
        <w:pBdr>
          <w:left w:val="single" w:sz="18" w:space="6" w:color="C0392B"/>
        </w:pBdr>
        <w:ind w:left="540"/>
        <w:tabs>
          <w:tab w:val="left" w:pos="1440"/>
        </w:tabs>
      </w:pPr>
      <w:r>
        <w:rPr>
          <w:rFonts w:ascii="Arial" w:hAnsi="Arial"/>
          <w:sz w:val="21"/>
          <w:color w:val="1A1A1A"/>
        </w:rPr>
        <w:tab/>
        <w:t>Another potential risk lies in the volatility of the influencer industry itself. Shah’s revenue streams—primarily from brand collaborations and sponsorships—are contingent on maintaining her audience’s trust and engagement. Shifts in platform algorithms, changing consumer preferences, or market saturation could impact her earnings. Furthermore, her reliance on her sister Chandni for financial and branding oversight introduces dependency risks; any disruptions in their partnership could affect business continuity. While no specific incidents of fraud or misconduct are documented, these factors highlight areas where proactive risk management is essential to sustain her career and reputation.</w:t>
      </w:r>
    </w:p>
    <w:p>
      <w:pPr>
        <w:spacing w:before="0" w:after="60"/>
      </w:pPr>
    </w:p>
    <w:p>
      <w:pPr>
        <w:spacing w:before="260" w:after="80"/>
        <w:pBdr>
          <w:bottom w:val="single" w:sz="8" w:space="4" w:color="C9A84C"/>
        </w:pBdr>
      </w:pPr>
      <w:r>
        <w:rPr>
          <w:rFonts w:ascii="Arial" w:hAnsi="Arial"/>
          <w:b/>
          <w:sz w:val="26"/>
          <w:color w:val="6B21A8"/>
        </w:rPr>
        <w:t>3.  PEP Association</w:t>
      </w:r>
    </w:p>
    <w:p>
      <w:pPr>
        <w:spacing w:before="80" w:after="60"/>
        <w:shd w:val="clear" w:color="auto" w:fill="F5F0FF"/>
        <w:pBdr>
          <w:left w:val="single" w:sz="18" w:space="6" w:color="6B21A8"/>
        </w:pBdr>
        <w:ind w:left="540"/>
        <w:tabs>
          <w:tab w:val="left" w:pos="1440"/>
        </w:tabs>
      </w:pPr>
      <w:r>
        <w:rPr>
          <w:rFonts w:ascii="Arial" w:hAnsi="Arial"/>
          <w:sz w:val="21"/>
          <w:color w:val="1A1A1A"/>
        </w:rPr>
        <w:tab/>
        <w:t>Niki Shah’s association with politically exposed persons (PEPs) is primarily linked to her role as National Co-Chair of Outreach for South Asians for Biden, a position that classifies her as a PEP due to her involvement in a political campaign. This role, focused on mobilizing support within the South Asian community for the Biden campaign, places her in a politically sensitive context. The nature of her relationship with the campaign involves strategic outreach and community engagement, aiming to amplify political participation. While the materials do not specify direct ties to high-ranking government officials, her position underscores her exposure to political networks. This association requires heightened due diligence, as PEP status often necessitates closer scrutiny in compliance and risk assessment frameworks to ensure transparency and adherence to regulatory standards.</w:t>
      </w:r>
    </w:p>
    <w:p>
      <w:pPr>
        <w:spacing w:before="0" w:after="60"/>
      </w:pPr>
    </w:p>
    <w:p>
      <w:pPr>
        <w:spacing w:before="260" w:after="80"/>
        <w:pBdr>
          <w:bottom w:val="single" w:sz="8" w:space="4" w:color="C9A84C"/>
        </w:pBdr>
      </w:pPr>
      <w:r>
        <w:rPr>
          <w:rFonts w:ascii="Arial" w:hAnsi="Arial"/>
          <w:b/>
          <w:sz w:val="26"/>
          <w:color w:val="C2610A"/>
        </w:rPr>
        <w:t>4.  Source of Wealth</w:t>
      </w:r>
    </w:p>
    <w:p>
      <w:pPr>
        <w:spacing w:before="80" w:after="60"/>
        <w:shd w:val="clear" w:color="auto" w:fill="FFF7ED"/>
        <w:pBdr>
          <w:left w:val="single" w:sz="18" w:space="6" w:color="C2610A"/>
        </w:pBdr>
        <w:ind w:left="540"/>
        <w:tabs>
          <w:tab w:val="left" w:pos="1440"/>
        </w:tabs>
      </w:pPr>
      <w:r>
        <w:rPr>
          <w:rFonts w:ascii="Arial" w:hAnsi="Arial"/>
          <w:sz w:val="21"/>
          <w:color w:val="1A1A1A"/>
        </w:rPr>
        <w:tab/>
        <w:t>Niki Shah’s wealth originates from multiple channels, primarily driven by her career as a social media influencer. Her income includes earnings from brand partnerships, sponsored content, and collaborations with companies seeking to leverage her large following. Additionally, her authenticity and relatability—such as sharing her vegetarian lifestyle and everyday experiences—have strengthened her appeal to audiences and advertisers alike. Beyond influencer work, Shah’s background in business and sustainability consulting contributes to her financial portfolio. She has engaged in projects like deploying clean energy solutions and analyzing social impact, which may generate income through advisory roles or grants. Her family’s business background, with her father being a partner in a private company, could also play a role, though the materials do not specify direct financial contributions from this source. Philanthropic activities, such as supporting non-profits and charity initiatives, further reflect her diversified financial engagements, balancing personal wealth with community investment.</w:t>
      </w:r>
    </w:p>
    <w:p>
      <w:pPr>
        <w:spacing w:before="0" w:after="60"/>
      </w:pPr>
    </w:p>
    <w:p>
      <w:pPr>
        <w:spacing w:before="200" w:after="20"/>
        <w:pBdr>
          <w:bottom w:val="single" w:sz="4" w:space="4" w:color="D0D7E3"/>
        </w:pBdr>
      </w:pPr>
      <w:r>
        <w:rPr>
          <w:rFonts w:ascii="Arial" w:hAnsi="Arial"/>
          <w:b/>
          <w:sz w:val="16"/>
          <w:color w:val="4A5568"/>
        </w:rPr>
        <w:t>Disclaimer</w:t>
      </w:r>
    </w:p>
    <w:p>
      <w:pPr>
        <w:spacing w:before="20" w:after="0"/>
      </w:pPr>
      <w:r>
        <w:rPr>
          <w:rFonts w:ascii="Arial" w:hAnsi="Arial"/>
          <w:i/>
          <w:sz w:val="15"/>
          <w:color w:val="4A5568"/>
        </w:rPr>
        <w:t>Generated by Beaver.AI using publicly available internet sources. This report reflects analysis based on patented Beaver.AI Agent and is strictly confidential for internal compliance use only. All findings require independent verification before use in legal, regulatory, or onboarding decisions.</w:t>
      </w:r>
    </w:p>
    <w:sectPr w:rsidR="00FC693F" w:rsidRPr="0006063C" w:rsidSect="00034616">
      <w:headerReference w:type="default" r:id="rId9"/>
      <w:pgSz w:w="11909" w:h="16834"/>
      <w:pgMar w:top="1152" w:right="1296" w:bottom="936" w:left="1296"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40"/>
      <w:tabs>
        <w:tab w:val="right" w:pos="9317"/>
      </w:tabs>
    </w:pPr>
    <w:r>
      <w:drawing>
        <wp:inline xmlns:a="http://schemas.openxmlformats.org/drawingml/2006/main" xmlns:pic="http://schemas.openxmlformats.org/drawingml/2006/picture">
          <wp:extent cx="987905" cy="548640"/>
          <wp:docPr id="1" name="Picture 1"/>
          <wp:cNvGraphicFramePr>
            <a:graphicFrameLocks noChangeAspect="1"/>
          </wp:cNvGraphicFramePr>
          <a:graphic>
            <a:graphicData uri="http://schemas.openxmlformats.org/drawingml/2006/picture">
              <pic:pic>
                <pic:nvPicPr>
                  <pic:cNvPr id="0" name="logo_beaver_final.png"/>
                  <pic:cNvPicPr/>
                </pic:nvPicPr>
                <pic:blipFill>
                  <a:blip r:embed="rId1"/>
                  <a:stretch>
                    <a:fillRect/>
                  </a:stretch>
                </pic:blipFill>
                <pic:spPr>
                  <a:xfrm>
                    <a:off x="0" y="0"/>
                    <a:ext cx="987905" cy="54864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