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jc w:val="center"/>
      </w:pPr>
      <w:r>
        <w:rPr>
          <w:rFonts w:ascii="Arial" w:hAnsi="Arial"/>
          <w:b/>
          <w:sz w:val="44"/>
          <w:color w:val="1B3A6B"/>
        </w:rPr>
        <w:t>CLIENT INTELLIGENCE REPORT</w:t>
      </w:r>
    </w:p>
    <w:p>
      <w:pPr>
        <w:spacing w:before="0" w:after="60"/>
        <w:jc w:val="center"/>
        <w:pBdr>
          <w:bottom w:val="single" w:sz="6" w:space="4" w:color="C9A84C"/>
        </w:pBdr>
      </w:pPr>
      <w:r>
        <w:rPr>
          <w:rFonts w:ascii="Arial" w:hAnsi="Arial"/>
          <w:i/>
          <w:sz w:val="24"/>
          <w:color w:val="2E75B6"/>
        </w:rPr>
        <w:t>Risk Assessment</w:t>
      </w:r>
    </w:p>
    <w:p>
      <w:pPr>
        <w:spacing w:before="60" w:after="20"/>
        <w:jc w:val="center"/>
      </w:pPr>
      <w:r>
        <w:rPr>
          <w:rFonts w:ascii="Arial" w:hAnsi="Arial"/>
          <w:b/>
          <w:sz w:val="32"/>
          <w:color w:val="C0392B"/>
        </w:rPr>
        <w:t>Case Ref:  web_case_631</w:t>
      </w:r>
    </w:p>
    <w:p>
      <w:pPr>
        <w:spacing w:before="10" w:after="160"/>
        <w:jc w:val="center"/>
      </w:pPr>
      <w:r>
        <w:rPr>
          <w:rFonts w:ascii="Arial" w:hAnsi="Arial"/>
          <w:b w:val="0"/>
          <w:sz w:val="18"/>
          <w:color w:val="4A5568"/>
        </w:rPr>
        <w:t>July 13, 2026</w:t>
      </w:r>
      <w:r>
        <w:rPr>
          <w:rFonts w:ascii="Arial" w:hAnsi="Arial"/>
          <w:b w:val="0"/>
          <w:sz w:val="18"/>
          <w:color w:val="D0D7E3"/>
        </w:rPr>
        <w:t xml:space="preserve">   |   </w:t>
      </w:r>
      <w:r>
        <w:rPr>
          <w:rFonts w:ascii="Arial" w:hAnsi="Arial"/>
          <w:b/>
          <w:sz w:val="18"/>
          <w:color w:val="C0392B"/>
        </w:rPr>
        <w:t>CONFIDENTIAL</w:t>
      </w:r>
    </w:p>
    <w:p>
      <w:pPr>
        <w:spacing w:before="260" w:after="80"/>
        <w:pBdr>
          <w:bottom w:val="single" w:sz="8" w:space="4" w:color="C9A84C"/>
        </w:pBdr>
      </w:pPr>
      <w:r>
        <w:rPr>
          <w:rFonts w:ascii="Arial" w:hAnsi="Arial"/>
          <w:b/>
          <w:sz w:val="26"/>
          <w:color w:val="1B3A6B"/>
        </w:rPr>
        <w:t>1.  Background</w:t>
      </w:r>
    </w:p>
    <w:p>
      <w:pPr>
        <w:spacing w:before="80" w:after="60"/>
        <w:shd w:val="clear" w:color="auto" w:fill="F5F7FA"/>
        <w:pBdr>
          <w:left w:val="single" w:sz="18" w:space="6" w:color="2E75B6"/>
        </w:pBdr>
        <w:ind w:left="540"/>
        <w:tabs>
          <w:tab w:val="left" w:pos="1440"/>
        </w:tabs>
      </w:pPr>
      <w:r>
        <w:rPr>
          <w:rFonts w:ascii="Arial" w:hAnsi="Arial"/>
          <w:sz w:val="21"/>
          <w:color w:val="1A1A1A"/>
        </w:rPr>
        <w:tab/>
        <w:t>Jane Leonard, known for her extensive work in public service and community development, is a prominent figure in Minnesota’s nonprofit and policy sectors. She serves as the President of Growth &amp; Justice, a nonprofit, non-partisan organization focused on building an inclusive and sustainable economy through research and community engagement. Her professional background spans roles in rural development, broadband infrastructure, and multi-sector collaboration, including positions at the Minnesota Office of Broadband Development and the Bush Foundation. Jane holds a bachelor’s degree in journalism and science communication from the University of Maryland and a master’s in mass communications from the University of Minnesota.</w:t>
      </w:r>
    </w:p>
    <w:p>
      <w:pPr>
        <w:spacing w:before="60" w:after="60"/>
        <w:shd w:val="clear" w:color="auto" w:fill="F5F7FA"/>
        <w:pBdr>
          <w:left w:val="single" w:sz="18" w:space="6" w:color="2E75B6"/>
        </w:pBdr>
        <w:ind w:left="540"/>
        <w:tabs>
          <w:tab w:val="left" w:pos="1440"/>
        </w:tabs>
      </w:pPr>
      <w:r>
        <w:rPr>
          <w:rFonts w:ascii="Arial" w:hAnsi="Arial"/>
          <w:sz w:val="21"/>
          <w:color w:val="1A1A1A"/>
        </w:rPr>
        <w:tab/>
        <w:t>Jane is part of a family deeply rooted in public service and political engagement. She and her twin sister, Karin Sonneman, grew up immersed in politics, moving to Washington, D.C., at age four when their father’s employer, former Minnesota Governor Orville Freeman, became Secretary of Agriculture under the Kennedy and Johnson administrations. Their mother, Jane Freeman, was a mentor and role model, active in the Democratic Farmers League (DFL) party, Unicef, and the Girl Scouts of America. This upbringing instilled in Jane a commitment to service, shaping her career trajectory.</w:t>
      </w:r>
    </w:p>
    <w:p>
      <w:pPr>
        <w:spacing w:before="60" w:after="60"/>
        <w:shd w:val="clear" w:color="auto" w:fill="F5F7FA"/>
        <w:pBdr>
          <w:left w:val="single" w:sz="18" w:space="6" w:color="2E75B6"/>
        </w:pBdr>
        <w:ind w:left="540"/>
        <w:tabs>
          <w:tab w:val="left" w:pos="1440"/>
        </w:tabs>
      </w:pPr>
      <w:r>
        <w:rPr>
          <w:rFonts w:ascii="Arial" w:hAnsi="Arial"/>
          <w:sz w:val="21"/>
          <w:color w:val="1A1A1A"/>
        </w:rPr>
        <w:tab/>
        <w:t>Jane’s immediate family includes her twin sister, Karin Sonneman, who has served as a public defender and Winona County’s first female county attorney. Jane also co-owns a family farm in Isle Harbor Township, Mille Lacs County, with her siblings and cousins, reflecting her ties to rural communities. Her professional network extends to leadership roles in organizations like the Community Development Society and advisory positions, such as her appointment to the ServeMinnesota commission by Governor Tim Walz.</w:t>
      </w:r>
    </w:p>
    <w:p>
      <w:pPr>
        <w:spacing w:before="0" w:after="60"/>
      </w:pPr>
    </w:p>
    <w:p>
      <w:pPr>
        <w:spacing w:before="260" w:after="80"/>
        <w:pBdr>
          <w:bottom w:val="single" w:sz="8" w:space="4" w:color="C9A84C"/>
        </w:pBdr>
      </w:pPr>
      <w:r>
        <w:rPr>
          <w:rFonts w:ascii="Arial" w:hAnsi="Arial"/>
          <w:b/>
          <w:sz w:val="26"/>
          <w:color w:val="C0392B"/>
        </w:rPr>
        <w:t>2.  Identified Risks</w:t>
      </w:r>
    </w:p>
    <w:p>
      <w:pPr>
        <w:spacing w:before="80" w:after="60"/>
        <w:shd w:val="clear" w:color="auto" w:fill="FFF0F0"/>
        <w:pBdr>
          <w:left w:val="single" w:sz="18" w:space="6" w:color="C0392B"/>
        </w:pBdr>
        <w:ind w:left="540"/>
        <w:tabs>
          <w:tab w:val="left" w:pos="1440"/>
        </w:tabs>
      </w:pPr>
      <w:r>
        <w:rPr>
          <w:rFonts w:ascii="Arial" w:hAnsi="Arial"/>
          <w:sz w:val="21"/>
          <w:color w:val="1A1A1A"/>
        </w:rPr>
        <w:tab/>
        <w:t>The provided materials do not reveal direct reputational risks, negative news, or criminal activities linked to Jane Leonard. Her public profile is largely defined by her advocacy for equitable policies, community development, and bipartisan collaboration. However, her sister Karin Sonneman faced gender-based bias during her 2010 campaign for Winona County attorney, with an opponent making derogatory remarks about her career as a public defender. Though this incident does not directly involve Jane, it highlights the broader challenges women in public service may encounter, which could indirectly influence perceptions of her professional network.</w:t>
      </w:r>
    </w:p>
    <w:p>
      <w:pPr>
        <w:spacing w:before="60" w:after="60"/>
        <w:shd w:val="clear" w:color="auto" w:fill="FFF0F0"/>
        <w:pBdr>
          <w:left w:val="single" w:sz="18" w:space="6" w:color="C0392B"/>
        </w:pBdr>
        <w:ind w:left="540"/>
        <w:tabs>
          <w:tab w:val="left" w:pos="1440"/>
        </w:tabs>
      </w:pPr>
      <w:r>
        <w:rPr>
          <w:rFonts w:ascii="Arial" w:hAnsi="Arial"/>
          <w:sz w:val="21"/>
          <w:color w:val="1A1A1A"/>
        </w:rPr>
        <w:tab/>
        <w:t>Jane’s involvement in high-profile roles, such as leading Growth &amp; Justice and advising the Federal Reserve Bank of Minneapolis, exposes her to scrutiny inherent in public-facing positions. While no specific controversies are documented in the materials, her work addressing systemic inequities—such as criminal justice reform and rural-urban divides—could attract criticism from opposing political or social factions. Additionally, her family’s historical ties to political figures, including Orville Freeman, may draw occasional attention, though no negative associations are noted in the provided sources.</w:t>
      </w:r>
    </w:p>
    <w:p>
      <w:pPr>
        <w:spacing w:before="0" w:after="60"/>
      </w:pPr>
    </w:p>
    <w:p>
      <w:pPr>
        <w:spacing w:before="260" w:after="80"/>
        <w:pBdr>
          <w:bottom w:val="single" w:sz="8" w:space="4" w:color="C9A84C"/>
        </w:pBdr>
      </w:pPr>
      <w:r>
        <w:rPr>
          <w:rFonts w:ascii="Arial" w:hAnsi="Arial"/>
          <w:b/>
          <w:sz w:val="26"/>
          <w:color w:val="6B21A8"/>
        </w:rPr>
        <w:t>3.  PEP Association</w:t>
      </w:r>
    </w:p>
    <w:p>
      <w:pPr>
        <w:spacing w:before="80" w:after="60"/>
        <w:shd w:val="clear" w:color="auto" w:fill="F5F0FF"/>
        <w:pBdr>
          <w:left w:val="single" w:sz="18" w:space="6" w:color="6B21A8"/>
        </w:pBdr>
        <w:ind w:left="540"/>
        <w:tabs>
          <w:tab w:val="left" w:pos="1440"/>
        </w:tabs>
      </w:pPr>
      <w:r>
        <w:rPr>
          <w:rFonts w:ascii="Arial" w:hAnsi="Arial"/>
          <w:sz w:val="21"/>
          <w:color w:val="1A1A1A"/>
        </w:rPr>
        <w:tab/>
        <w:t>Jane Leonard’s professional and familial connections place her in proximity to politically exposed persons (PEPs). Her sister, Karin Sonneman, holds public office as a county attorney, a role that involves legal and policy influence. Jane herself has been appointed to government-related advisory boards, including the Community Advisory Board of the Opportunity &amp; Inclusive Growth Institute at the Federal Reserve Bank of Minneapolis and the ServeMinnesota commission, which oversees AmeriCorps programs in the state. These roles involve collaboration with government entities and policymakers, aligning her work with public sector objectives.</w:t>
      </w:r>
    </w:p>
    <w:p>
      <w:pPr>
        <w:spacing w:before="60" w:after="60"/>
        <w:shd w:val="clear" w:color="auto" w:fill="F5F0FF"/>
        <w:pBdr>
          <w:left w:val="single" w:sz="18" w:space="6" w:color="6B21A8"/>
        </w:pBdr>
        <w:ind w:left="540"/>
        <w:tabs>
          <w:tab w:val="left" w:pos="1440"/>
        </w:tabs>
      </w:pPr>
      <w:r>
        <w:rPr>
          <w:rFonts w:ascii="Arial" w:hAnsi="Arial"/>
          <w:sz w:val="21"/>
          <w:color w:val="1A1A1A"/>
        </w:rPr>
        <w:tab/>
        <w:t>Her family’s history of political engagement further ties her to PEPs. Her father’s employer, Orville Freeman, was a U.S. Secretary of Agriculture and former Minnesota governor, creating indirect links to high-level government circles. Jane’s mother, Jane Freeman, was active in the DFL party and mentored women in public service, reinforcing the family’s political legacy. While Jane’s direct associations with PEPs are professional and advisory rather than familial or financial, her network reflects a deep integration with public service and policy-making ecosystems.</w:t>
      </w:r>
    </w:p>
    <w:p>
      <w:pPr>
        <w:spacing w:before="0" w:after="60"/>
      </w:pPr>
    </w:p>
    <w:p>
      <w:pPr>
        <w:spacing w:before="260" w:after="80"/>
        <w:pBdr>
          <w:bottom w:val="single" w:sz="8" w:space="4" w:color="C9A84C"/>
        </w:pBdr>
      </w:pPr>
      <w:r>
        <w:rPr>
          <w:rFonts w:ascii="Arial" w:hAnsi="Arial"/>
          <w:b/>
          <w:sz w:val="26"/>
          <w:color w:val="C2610A"/>
        </w:rPr>
        <w:t>4.  Source of Wealth</w:t>
      </w:r>
    </w:p>
    <w:p>
      <w:pPr>
        <w:spacing w:before="80" w:after="60"/>
        <w:shd w:val="clear" w:color="auto" w:fill="FFF7ED"/>
        <w:pBdr>
          <w:left w:val="single" w:sz="18" w:space="6" w:color="C2610A"/>
        </w:pBdr>
        <w:ind w:left="540"/>
        <w:tabs>
          <w:tab w:val="left" w:pos="1440"/>
        </w:tabs>
      </w:pPr>
      <w:r>
        <w:rPr>
          <w:rFonts w:ascii="Arial" w:hAnsi="Arial"/>
          <w:sz w:val="21"/>
          <w:color w:val="1A1A1A"/>
        </w:rPr>
        <w:tab/>
        <w:t>Jane Leonard’s income and assets appear to stem from her career in nonprofit leadership, government roles, and consulting. As President of Growth &amp; Justice, her compensation would align with nonprofit executive standards, though specific figures are not disclosed. Prior positions, such as Broadband Grants Administrator at the Minnesota Office of Broadband Development, likely contributed to her financial stability. She also founded her own community technology advising business, indicating entrepreneurial income streams.</w:t>
      </w:r>
    </w:p>
    <w:p>
      <w:pPr>
        <w:spacing w:before="60" w:after="60"/>
        <w:shd w:val="clear" w:color="auto" w:fill="FFF7ED"/>
        <w:pBdr>
          <w:left w:val="single" w:sz="18" w:space="6" w:color="C2610A"/>
        </w:pBdr>
        <w:ind w:left="540"/>
        <w:tabs>
          <w:tab w:val="left" w:pos="1440"/>
        </w:tabs>
      </w:pPr>
      <w:r>
        <w:rPr>
          <w:rFonts w:ascii="Arial" w:hAnsi="Arial"/>
          <w:sz w:val="21"/>
          <w:color w:val="1A1A1A"/>
        </w:rPr>
        <w:tab/>
        <w:t>Family assets, including the jointly owned farm in Mille Lacs County, may provide additional financial support or value. Her educational background and professional trajectory suggest a reliance on salaries from public service and nonprofit sectors rather than business ventures or investments. No information is provided about inherited wealth or other income sources beyond her career and family property. The materials do not indicate financial misconduct or unusual wealth accumulation, painting a picture of a career driven by public service rather than personal enrichment.</w:t>
      </w:r>
    </w:p>
    <w:p>
      <w:pPr>
        <w:spacing w:before="0" w:after="60"/>
      </w:pPr>
    </w:p>
    <w:p>
      <w:pPr>
        <w:spacing w:before="200" w:after="20"/>
        <w:pBdr>
          <w:bottom w:val="single" w:sz="4" w:space="4" w:color="D0D7E3"/>
        </w:pBdr>
      </w:pPr>
      <w:r>
        <w:rPr>
          <w:rFonts w:ascii="Arial" w:hAnsi="Arial"/>
          <w:b/>
          <w:sz w:val="16"/>
          <w:color w:val="4A5568"/>
        </w:rPr>
        <w:t>Disclaimer</w:t>
      </w:r>
    </w:p>
    <w:p>
      <w:pPr>
        <w:spacing w:before="20" w:after="0"/>
      </w:pPr>
      <w:r>
        <w:rPr>
          <w:rFonts w:ascii="Arial" w:hAnsi="Arial"/>
          <w:i/>
          <w:sz w:val="15"/>
          <w:color w:val="4A5568"/>
        </w:rPr>
        <w:t>Generated by Beaver.AI using publicly available internet sources. This report reflects analysis based on patented Beaver.AI Agent and is strictly confidential for internal compliance use only. All findings require independent verification before use in legal, regulatory, or onboarding decisions.</w:t>
      </w:r>
    </w:p>
    <w:sectPr w:rsidR="00FC693F" w:rsidRPr="0006063C" w:rsidSect="00034616">
      <w:headerReference w:type="default" r:id="rId9"/>
      <w:pgSz w:w="11909" w:h="16834"/>
      <w:pgMar w:top="1152" w:right="1296" w:bottom="936" w:left="1296"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40"/>
      <w:tabs>
        <w:tab w:val="right" w:pos="9317"/>
      </w:tabs>
    </w:pPr>
    <w:r>
      <w:drawing>
        <wp:inline xmlns:a="http://schemas.openxmlformats.org/drawingml/2006/main" xmlns:pic="http://schemas.openxmlformats.org/drawingml/2006/picture">
          <wp:extent cx="987905" cy="548640"/>
          <wp:docPr id="1" name="Picture 1"/>
          <wp:cNvGraphicFramePr>
            <a:graphicFrameLocks noChangeAspect="1"/>
          </wp:cNvGraphicFramePr>
          <a:graphic>
            <a:graphicData uri="http://schemas.openxmlformats.org/drawingml/2006/picture">
              <pic:pic>
                <pic:nvPicPr>
                  <pic:cNvPr id="0" name="logo_beaver_final.png"/>
                  <pic:cNvPicPr/>
                </pic:nvPicPr>
                <pic:blipFill>
                  <a:blip r:embed="rId1"/>
                  <a:stretch>
                    <a:fillRect/>
                  </a:stretch>
                </pic:blipFill>
                <pic:spPr>
                  <a:xfrm>
                    <a:off x="0" y="0"/>
                    <a:ext cx="987905" cy="54864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