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jc w:val="center"/>
      </w:pPr>
      <w:r>
        <w:rPr>
          <w:rFonts w:ascii="Arial" w:hAnsi="Arial"/>
          <w:b/>
          <w:sz w:val="44"/>
          <w:color w:val="1B3A6B"/>
        </w:rPr>
        <w:t>CLIENT INTELLIGENCE REPORT</w:t>
      </w:r>
    </w:p>
    <w:p>
      <w:pPr>
        <w:spacing w:before="0" w:after="60"/>
        <w:jc w:val="center"/>
        <w:pBdr>
          <w:bottom w:val="single" w:sz="6" w:space="4" w:color="C9A84C"/>
        </w:pBdr>
      </w:pPr>
      <w:r>
        <w:rPr>
          <w:rFonts w:ascii="Arial" w:hAnsi="Arial"/>
          <w:i/>
          <w:sz w:val="24"/>
          <w:color w:val="2E75B6"/>
        </w:rPr>
        <w:t>Risk Assessment</w:t>
      </w:r>
    </w:p>
    <w:p>
      <w:pPr>
        <w:spacing w:before="60" w:after="20"/>
        <w:jc w:val="center"/>
      </w:pPr>
      <w:r>
        <w:rPr>
          <w:rFonts w:ascii="Arial" w:hAnsi="Arial"/>
          <w:b/>
          <w:sz w:val="32"/>
          <w:color w:val="C0392B"/>
        </w:rPr>
        <w:t>Case Ref:  web_case_825</w:t>
      </w:r>
    </w:p>
    <w:p>
      <w:pPr>
        <w:spacing w:before="10" w:after="160"/>
        <w:jc w:val="center"/>
      </w:pPr>
      <w:r>
        <w:rPr>
          <w:rFonts w:ascii="Arial" w:hAnsi="Arial"/>
          <w:b w:val="0"/>
          <w:sz w:val="18"/>
          <w:color w:val="4A5568"/>
        </w:rPr>
        <w:t>August 14, 2026</w:t>
      </w:r>
      <w:r>
        <w:rPr>
          <w:rFonts w:ascii="Arial" w:hAnsi="Arial"/>
          <w:b w:val="0"/>
          <w:sz w:val="18"/>
          <w:color w:val="D0D7E3"/>
        </w:rPr>
        <w:t xml:space="preserve">   |   </w:t>
      </w:r>
      <w:r>
        <w:rPr>
          <w:rFonts w:ascii="Arial" w:hAnsi="Arial"/>
          <w:b/>
          <w:sz w:val="18"/>
          <w:color w:val="C0392B"/>
        </w:rPr>
        <w:t>CONFIDENTIAL</w:t>
      </w:r>
    </w:p>
    <w:p>
      <w:pPr>
        <w:spacing w:before="260" w:after="80"/>
        <w:pBdr>
          <w:bottom w:val="single" w:sz="8" w:space="4" w:color="C9A84C"/>
        </w:pBdr>
      </w:pPr>
      <w:r>
        <w:rPr>
          <w:rFonts w:ascii="Arial" w:hAnsi="Arial"/>
          <w:b/>
          <w:sz w:val="26"/>
          <w:color w:val="1B3A6B"/>
        </w:rPr>
        <w:t>1.  Background</w:t>
      </w:r>
    </w:p>
    <w:p>
      <w:pPr>
        <w:spacing w:before="80" w:after="60"/>
        <w:shd w:val="clear" w:color="auto" w:fill="F5F7FA"/>
        <w:pBdr>
          <w:left w:val="single" w:sz="18" w:space="6" w:color="2E75B6"/>
        </w:pBdr>
        <w:ind w:left="540"/>
        <w:tabs>
          <w:tab w:val="left" w:pos="1440"/>
        </w:tabs>
      </w:pPr>
      <w:r>
        <w:rPr>
          <w:rFonts w:ascii="Arial" w:hAnsi="Arial"/>
          <w:sz w:val="21"/>
          <w:color w:val="1A1A1A"/>
        </w:rPr>
        <w:tab/>
        <w:t>John Pelusi, a prominent figure associated with the University of Pittsburgh, is best known for his athletic career as the starting center for the Panthers’ 1976 national championship football team. Nicknamed for his role in the team, Pelusi’s legacy at Pitt extends far beyond his playing days. He graduated with a bachelor’s degree from the Kenneth P. Dietrich School of Arts and Sciences and a master’s in public management and policy from the Graduate School of Public and International Affairs. Professionally, Pelusi served as CEO and Vice Chairman of HFF, Inc. (NYSE) and Executive Managing Director of Holliday Fenoglio Fowler, L.P., a commercial real estate and capital markets services provider. His industry involvement in real estate and finance underscores his career trajectory.</w:t>
      </w:r>
    </w:p>
    <w:p>
      <w:pPr>
        <w:spacing w:before="60" w:after="60"/>
        <w:shd w:val="clear" w:color="auto" w:fill="F5F7FA"/>
        <w:pBdr>
          <w:left w:val="single" w:sz="18" w:space="6" w:color="2E75B6"/>
        </w:pBdr>
        <w:ind w:left="540"/>
        <w:tabs>
          <w:tab w:val="left" w:pos="1440"/>
        </w:tabs>
      </w:pPr>
      <w:r>
        <w:rPr>
          <w:rFonts w:ascii="Arial" w:hAnsi="Arial"/>
          <w:sz w:val="21"/>
          <w:color w:val="1A1A1A"/>
        </w:rPr>
        <w:tab/>
        <w:t>Pelusi’s family ties to Pitt are deep and multifaceted. He and his wife, Cathy, have been longstanding donors and supporters, establishing programs like the Cathy and John Pelusi Life Skills Program and the John and Cathy Pelusi Mentorship Program. Their children, Jamie and John Jr., followed in their father’s footsteps: Jamie was a standout soccer player and Big East Goalkeeper of the Year in 2004, while John Jr. played football and later became Assistant Athletic Director at Pitt. The Pelusi family’s connection spans generations, with multiple relatives, including uncles and cousins, having attended or been associated with the university. John Pelusi’s brother, Jay, and uncle, Jeff, also played football at Pitt, cementing the family’s enduring relationship with the institution.</w:t>
      </w:r>
    </w:p>
    <w:p>
      <w:pPr>
        <w:spacing w:before="60" w:after="60"/>
        <w:shd w:val="clear" w:color="auto" w:fill="F5F7FA"/>
        <w:pBdr>
          <w:left w:val="single" w:sz="18" w:space="6" w:color="2E75B6"/>
        </w:pBdr>
        <w:ind w:left="540"/>
        <w:tabs>
          <w:tab w:val="left" w:pos="1440"/>
        </w:tabs>
      </w:pPr>
      <w:r>
        <w:rPr>
          <w:rFonts w:ascii="Arial" w:hAnsi="Arial"/>
          <w:sz w:val="21"/>
          <w:color w:val="1A1A1A"/>
        </w:rPr>
        <w:tab/>
        <w:t>As a trustee, Pelusi served on the University of Pittsburgh Board of Trustees for 25 years, holding roles such as Chair of the Property and Facilities Committee and the Athletic Committee. He was inducted into Pitt’s Cathedral of Learning Society in 2007 for lifetime giving exceeding $1 million and received honors like the Awardee of Distinction (2005) and Legacy Laureate (2007). His leadership roles and philanthropy reflect his commitment to the university’s growth and student-athlete development.</w:t>
      </w:r>
    </w:p>
    <w:p>
      <w:pPr>
        <w:spacing w:before="0" w:after="60"/>
      </w:pPr>
    </w:p>
    <w:p>
      <w:pPr>
        <w:spacing w:before="260" w:after="80"/>
        <w:pBdr>
          <w:bottom w:val="single" w:sz="8" w:space="4" w:color="C9A84C"/>
        </w:pBdr>
      </w:pPr>
      <w:r>
        <w:rPr>
          <w:rFonts w:ascii="Arial" w:hAnsi="Arial"/>
          <w:b/>
          <w:sz w:val="26"/>
          <w:color w:val="C0392B"/>
        </w:rPr>
        <w:t>2.  Identified Risks</w:t>
      </w:r>
    </w:p>
    <w:p>
      <w:pPr>
        <w:spacing w:before="80" w:after="60"/>
        <w:shd w:val="clear" w:color="auto" w:fill="FFF0F0"/>
        <w:pBdr>
          <w:left w:val="single" w:sz="18" w:space="6" w:color="C0392B"/>
        </w:pBdr>
        <w:ind w:left="540"/>
        <w:tabs>
          <w:tab w:val="left" w:pos="1440"/>
        </w:tabs>
      </w:pPr>
      <w:r>
        <w:rPr>
          <w:rFonts w:ascii="Arial" w:hAnsi="Arial"/>
          <w:sz w:val="21"/>
          <w:color w:val="1A1A1A"/>
        </w:rPr>
        <w:tab/>
        <w:t>John Pelusi’s most notable risk exposure stems from a public and contentious legal dispute with the University of Pittsburgh Board of Trustees. The conflict arose after Pelusi transitioned from a voting trustee to an emeritus (non-voting) trustee in June 2024, following a 30-year tenure. Pelusi alleged in his lawsuit that the board, led by Chair John Verbanac, denied him access to information about key issues, including Pitt’s Name, Image, and Likeness (NIL) policies, the financial implications of the House v. NCAA settlement, and the termination of former Athletic Director Heather Lyke in September 2024. He claimed the university risked losing six- and seven-figure donations due to mishandling Lyke’s departure, which he viewed as an “unforced error.”</w:t>
      </w:r>
    </w:p>
    <w:p>
      <w:pPr>
        <w:spacing w:before="60" w:after="60"/>
        <w:shd w:val="clear" w:color="auto" w:fill="FFF0F0"/>
        <w:pBdr>
          <w:left w:val="single" w:sz="18" w:space="6" w:color="C0392B"/>
        </w:pBdr>
        <w:ind w:left="540"/>
        <w:tabs>
          <w:tab w:val="left" w:pos="1440"/>
        </w:tabs>
      </w:pPr>
      <w:r>
        <w:rPr>
          <w:rFonts w:ascii="Arial" w:hAnsi="Arial"/>
          <w:sz w:val="21"/>
          <w:color w:val="1A1A1A"/>
        </w:rPr>
        <w:tab/>
        <w:t>The board countered that Pelusi’s emeritus status limited his privileges to attending meetings as an observer and serving as a non-voting committee member. They accused him of “inappropriate and disruptive conduct,” citing his refusal to accept his reduced role and his insistence on participating in decision-making beyond his emeritus authority. Verbanac temporarily suspended Pelusi’s meeting attendance and portal access in November 2024, calling his behavior a hindrance to the board’s fiduciary duties. The public nature of the lawsuit, detailed in multiple news outlets, poses reputational risks for both Pelusi and the university, highlighting internal governance tensions.</w:t>
      </w:r>
    </w:p>
    <w:p>
      <w:pPr>
        <w:spacing w:before="60" w:after="60"/>
        <w:shd w:val="clear" w:color="auto" w:fill="FFF0F0"/>
        <w:pBdr>
          <w:left w:val="single" w:sz="18" w:space="6" w:color="C0392B"/>
        </w:pBdr>
        <w:ind w:left="540"/>
        <w:tabs>
          <w:tab w:val="left" w:pos="1440"/>
        </w:tabs>
      </w:pPr>
      <w:r>
        <w:rPr>
          <w:rFonts w:ascii="Arial" w:hAnsi="Arial"/>
          <w:sz w:val="21"/>
          <w:color w:val="1A1A1A"/>
        </w:rPr>
        <w:tab/>
        <w:t>The dispute escalated into a legal battle, with Pelusi seeking an injunction to restore his access to meetings and documents. A temporary agreement in January 2025 partially restored his privileges but barred him from executive sessions and litigation-related materials. The prolonged conflict, marked by mutual accusations of misconduct, underscores governance risks related to power dynamics and transparency. Additionally, Pelusi’s concerns about potential donation losses and athletic department management reflect operational risks tied to leadership decisions and stakeholder relations.</w:t>
      </w:r>
    </w:p>
    <w:p>
      <w:pPr>
        <w:spacing w:before="0" w:after="60"/>
      </w:pPr>
    </w:p>
    <w:p>
      <w:pPr>
        <w:spacing w:before="260" w:after="80"/>
        <w:pBdr>
          <w:bottom w:val="single" w:sz="8" w:space="4" w:color="C9A84C"/>
        </w:pBdr>
      </w:pPr>
      <w:r>
        <w:rPr>
          <w:rFonts w:ascii="Arial" w:hAnsi="Arial"/>
          <w:b/>
          <w:sz w:val="26"/>
          <w:color w:val="6B21A8"/>
        </w:rPr>
        <w:t>3.  PEP Association</w:t>
      </w:r>
    </w:p>
    <w:p>
      <w:pPr>
        <w:spacing w:before="80" w:after="60"/>
        <w:shd w:val="clear" w:color="auto" w:fill="F5F0FF"/>
        <w:pBdr>
          <w:left w:val="single" w:sz="18" w:space="6" w:color="6B21A8"/>
        </w:pBdr>
        <w:ind w:left="540"/>
        <w:tabs>
          <w:tab w:val="left" w:pos="1440"/>
        </w:tabs>
      </w:pPr>
      <w:r>
        <w:rPr>
          <w:rFonts w:ascii="Arial" w:hAnsi="Arial"/>
          <w:sz w:val="21"/>
          <w:color w:val="1A1A1A"/>
        </w:rPr>
        <w:tab/>
        <w:t>John Pelusi’s associations with politically exposed persons (PEPs) are primarily linked to his role as a University of Pittsburgh trustee and his interactions with university leadership. While not a PEP himself, Pelusi engaged with high-ranking officials such as Heather Lyke, the former Athletic Director, and Chancellor Joan Gabel. His involvement in the search committee that appointed Lyke in 2017 and his subsequent criticism of her termination illustrate his proximity to key decision-makers. However, the materials do not indicate direct ties to government officials or politically exposed individuals beyond his university-related roles. His lawsuit against the board and Verbanac further highlights his engagement with institutional governance structures, though no specific PEP connections are documented.</w:t>
      </w:r>
    </w:p>
    <w:p>
      <w:pPr>
        <w:spacing w:before="0" w:after="60"/>
      </w:pPr>
    </w:p>
    <w:p>
      <w:pPr>
        <w:spacing w:before="260" w:after="80"/>
        <w:pBdr>
          <w:bottom w:val="single" w:sz="8" w:space="4" w:color="C9A84C"/>
        </w:pBdr>
      </w:pPr>
      <w:r>
        <w:rPr>
          <w:rFonts w:ascii="Arial" w:hAnsi="Arial"/>
          <w:b/>
          <w:sz w:val="26"/>
          <w:color w:val="C2610A"/>
        </w:rPr>
        <w:t>4.  Source of Wealth</w:t>
      </w:r>
    </w:p>
    <w:p>
      <w:pPr>
        <w:spacing w:before="80" w:after="60"/>
        <w:shd w:val="clear" w:color="auto" w:fill="FFF7ED"/>
        <w:pBdr>
          <w:left w:val="single" w:sz="18" w:space="6" w:color="C2610A"/>
        </w:pBdr>
        <w:ind w:left="540"/>
        <w:tabs>
          <w:tab w:val="left" w:pos="1440"/>
        </w:tabs>
      </w:pPr>
      <w:r>
        <w:rPr>
          <w:rFonts w:ascii="Arial" w:hAnsi="Arial"/>
          <w:sz w:val="21"/>
          <w:color w:val="1A1A1A"/>
        </w:rPr>
        <w:tab/>
        <w:t>John Pelusi’s wealth primarily stems from his successful career in commercial real estate and capital markets. As CEO and Vice Chairman of HFF, Inc. (NYSE) and Executive Managing Director of Holliday Fenoglio Fowler, L.P., he played a pivotal role in the firm’s growth, which specialized in real estate financial services. His leadership in these entities, coupled with his expertise in real estate transactions and capital management, likely generated substantial financial returns. The materials emphasize his business acumen, noting that his involvement with the University of Pittsburgh contributed to significant cost savings, underscoring his professional stature in the industry.</w:t>
      </w:r>
    </w:p>
    <w:p>
      <w:pPr>
        <w:spacing w:before="60" w:after="60"/>
        <w:shd w:val="clear" w:color="auto" w:fill="FFF7ED"/>
        <w:pBdr>
          <w:left w:val="single" w:sz="18" w:space="6" w:color="C2610A"/>
        </w:pBdr>
        <w:ind w:left="540"/>
        <w:tabs>
          <w:tab w:val="left" w:pos="1440"/>
        </w:tabs>
      </w:pPr>
      <w:r>
        <w:rPr>
          <w:rFonts w:ascii="Arial" w:hAnsi="Arial"/>
          <w:sz w:val="21"/>
          <w:color w:val="1A1A1A"/>
        </w:rPr>
        <w:tab/>
        <w:t>Additionally, Pelusi’s philanthropy, including multimillion-dollar donations to Pitt, reflects his financial capacity. The establishment of the Cathy and John Pelusi Life Skills Program and the John and Cathy Pelusi Mentorship Program, along with annual giving since 1978, demonstrates sustained wealth. His family’s ability to fund such initiatives and support multiple generations of student-athletes further indicates a robust financial foundation. While the exact sources of his income are not detailed beyond his executive roles, his career trajectory and philanthropic activities align with high-earning positions in the real estate sector.</w:t>
      </w:r>
    </w:p>
    <w:p>
      <w:pPr>
        <w:spacing w:before="0" w:after="60"/>
      </w:pPr>
    </w:p>
    <w:p>
      <w:pPr>
        <w:spacing w:before="200" w:after="20"/>
        <w:pBdr>
          <w:bottom w:val="single" w:sz="4" w:space="4" w:color="D0D7E3"/>
        </w:pBdr>
      </w:pPr>
      <w:r>
        <w:rPr>
          <w:rFonts w:ascii="Arial" w:hAnsi="Arial"/>
          <w:b/>
          <w:sz w:val="16"/>
          <w:color w:val="4A5568"/>
        </w:rPr>
        <w:t>Disclaimer</w:t>
      </w:r>
    </w:p>
    <w:p>
      <w:pPr>
        <w:spacing w:before="20" w:after="0"/>
      </w:pPr>
      <w:r>
        <w:rPr>
          <w:rFonts w:ascii="Arial" w:hAnsi="Arial"/>
          <w:i/>
          <w:sz w:val="15"/>
          <w:color w:val="4A5568"/>
        </w:rPr>
        <w:t>Generated by Beaver.AI using publicly available internet sources. This report reflects analysis based on patented Beaver.AI Agent and is strictly confidential for internal compliance use only. All findings require independent verification before use in legal, regulatory, or onboarding decisions.</w:t>
      </w:r>
    </w:p>
    <w:sectPr w:rsidR="00FC693F" w:rsidRPr="0006063C" w:rsidSect="00034616">
      <w:headerReference w:type="default" r:id="rId9"/>
      <w:pgSz w:w="11909" w:h="16834"/>
      <w:pgMar w:top="1152" w:right="1296" w:bottom="936" w:left="1296" w:header="43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40"/>
      <w:tabs>
        <w:tab w:val="right" w:pos="9317"/>
      </w:tabs>
    </w:pPr>
    <w:r>
      <w:drawing>
        <wp:inline xmlns:a="http://schemas.openxmlformats.org/drawingml/2006/main" xmlns:pic="http://schemas.openxmlformats.org/drawingml/2006/picture">
          <wp:extent cx="987905" cy="548640"/>
          <wp:docPr id="1" name="Picture 1"/>
          <wp:cNvGraphicFramePr>
            <a:graphicFrameLocks noChangeAspect="1"/>
          </wp:cNvGraphicFramePr>
          <a:graphic>
            <a:graphicData uri="http://schemas.openxmlformats.org/drawingml/2006/picture">
              <pic:pic>
                <pic:nvPicPr>
                  <pic:cNvPr id="0" name="logo_beaver_final.png"/>
                  <pic:cNvPicPr/>
                </pic:nvPicPr>
                <pic:blipFill>
                  <a:blip r:embed="rId1"/>
                  <a:stretch>
                    <a:fillRect/>
                  </a:stretch>
                </pic:blipFill>
                <pic:spPr>
                  <a:xfrm>
                    <a:off x="0" y="0"/>
                    <a:ext cx="987905" cy="54864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